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F73DA">
      <w:pPr>
        <w:spacing w:line="307" w:lineRule="auto"/>
      </w:pPr>
    </w:p>
    <w:p w14:paraId="7092633B">
      <w:pPr>
        <w:spacing w:line="307" w:lineRule="auto"/>
        <w:rPr>
          <w:rFonts w:hint="default" w:ascii="Judson" w:hAnsi="Judson" w:cs="Judson"/>
          <w:b/>
          <w:bCs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3573145</wp:posOffset>
                </wp:positionH>
                <wp:positionV relativeFrom="paragraph">
                  <wp:posOffset>140970</wp:posOffset>
                </wp:positionV>
                <wp:extent cx="2569845" cy="2628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00905" y="686435"/>
                          <a:ext cx="256984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D6D60">
                            <w:pPr>
                              <w:spacing w:after="0"/>
                              <w:jc w:val="left"/>
                              <w:rPr>
                                <w:rFonts w:hint="default" w:ascii="Judson" w:hAnsi="Judson" w:eastAsia="等线" w:cs="Judson"/>
                                <w:bCs/>
                                <w:color w:val="000000"/>
                                <w:kern w:val="2"/>
                                <w:szCs w:val="24"/>
                              </w:rPr>
                            </w:pPr>
                            <w:r>
                              <w:rPr>
                                <w:rFonts w:hint="default" w:ascii="Judson" w:hAnsi="Judson" w:eastAsia="等线" w:cs="Judson"/>
                                <w:bCs/>
                                <w:color w:val="000000"/>
                                <w:kern w:val="2"/>
                                <w:szCs w:val="24"/>
                              </w:rPr>
                              <w:t>https://doi.org/10.70401/tx.2026.002</w:t>
                            </w:r>
                            <w:r>
                              <w:rPr>
                                <w:rFonts w:hint="eastAsia" w:ascii="Judson" w:hAnsi="Judson" w:eastAsia="等线" w:cs="Judson"/>
                                <w:bCs/>
                                <w:color w:val="000000"/>
                                <w:kern w:val="2"/>
                                <w:szCs w:val="24"/>
                                <w:lang w:val="en-US" w:eastAsia="zh-CN"/>
                              </w:rPr>
                              <w:t>7</w:t>
                            </w:r>
                          </w:p>
                          <w:p w14:paraId="63CBCD1A">
                            <w:pPr>
                              <w:rPr>
                                <w:rFonts w:hint="default" w:ascii="Judson" w:hAnsi="Judson" w:cs="Judso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35pt;margin-top:11.1pt;height:20.7pt;width:202.35pt;z-index:251660288;mso-width-relative:page;mso-height-relative:page;" filled="f" stroked="f" coordsize="21600,21600" o:gfxdata="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k7VodsAAAAJAQAADwAAAAAA&#10;AAABACAAAAAiAAAAZHJzL2Rvd25yZXYueG1sUEsBAhQAFAAAAAgAh07iQDJJb1JJAgAAc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DD6D60">
                      <w:pPr>
                        <w:spacing w:after="0"/>
                        <w:jc w:val="left"/>
                        <w:rPr>
                          <w:rFonts w:hint="default" w:ascii="Judson" w:hAnsi="Judson" w:eastAsia="等线" w:cs="Judson"/>
                          <w:bCs/>
                          <w:color w:val="000000"/>
                          <w:kern w:val="2"/>
                          <w:szCs w:val="24"/>
                        </w:rPr>
                      </w:pPr>
                      <w:r>
                        <w:rPr>
                          <w:rFonts w:hint="default" w:ascii="Judson" w:hAnsi="Judson" w:eastAsia="等线" w:cs="Judson"/>
                          <w:bCs/>
                          <w:color w:val="000000"/>
                          <w:kern w:val="2"/>
                          <w:szCs w:val="24"/>
                        </w:rPr>
                        <w:t>https://doi.org/10.70401/tx.2026.002</w:t>
                      </w:r>
                      <w:r>
                        <w:rPr>
                          <w:rFonts w:hint="eastAsia" w:ascii="Judson" w:hAnsi="Judson" w:eastAsia="等线" w:cs="Judson"/>
                          <w:bCs/>
                          <w:color w:val="000000"/>
                          <w:kern w:val="2"/>
                          <w:szCs w:val="24"/>
                          <w:lang w:val="en-US" w:eastAsia="zh-CN"/>
                        </w:rPr>
                        <w:t>7</w:t>
                      </w:r>
                    </w:p>
                    <w:p w14:paraId="63CBCD1A">
                      <w:pPr>
                        <w:rPr>
                          <w:rFonts w:hint="default" w:ascii="Judson" w:hAnsi="Judson" w:cs="Judso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973455" cy="324485"/>
            <wp:effectExtent l="0" t="0" r="1714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371475</wp:posOffset>
            </wp:positionV>
            <wp:extent cx="5842000" cy="12700"/>
            <wp:effectExtent l="0" t="0" r="0" b="0"/>
            <wp:wrapNone/>
            <wp:docPr id="1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6E045">
      <w:pPr>
        <w:spacing w:line="307" w:lineRule="auto"/>
        <w:rPr>
          <w:rFonts w:hint="default" w:ascii="Judson" w:hAnsi="Judson" w:cs="Judson"/>
          <w:b/>
          <w:bCs/>
          <w:sz w:val="28"/>
          <w:szCs w:val="28"/>
          <w:lang w:val="en-US" w:eastAsia="zh-CN"/>
        </w:rPr>
      </w:pPr>
      <w:r>
        <w:rPr>
          <w:rFonts w:hint="default" w:ascii="Judson" w:hAnsi="Judson" w:cs="Judson"/>
          <w:b/>
          <w:bCs/>
          <w:sz w:val="28"/>
          <w:szCs w:val="28"/>
          <w:lang w:val="en-US" w:eastAsia="zh-CN"/>
        </w:rPr>
        <w:t>Supplementary information</w:t>
      </w:r>
    </w:p>
    <w:p w14:paraId="567FE913">
      <w:pPr>
        <w:spacing w:line="307" w:lineRule="auto"/>
        <w:rPr>
          <w:rFonts w:hint="default"/>
          <w:b w:val="0"/>
          <w:bCs w:val="0"/>
          <w:lang w:val="en-US" w:eastAsia="zh-CN"/>
        </w:rPr>
      </w:pPr>
    </w:p>
    <w:p w14:paraId="074DE48B">
      <w:pPr>
        <w:spacing w:line="307" w:lineRule="auto"/>
        <w:rPr>
          <w:rFonts w:hint="default" w:ascii="Judson" w:hAnsi="Judson" w:cs="Judson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Judson" w:hAnsi="Judson" w:cs="Judson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Judson" w:hAnsi="Judson" w:cs="Judson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cumulative model for thermoelectric cooling with temperature dependent material properties</w:t>
      </w:r>
    </w:p>
    <w:p w14:paraId="16472DDE">
      <w:pPr>
        <w:spacing w:line="307" w:lineRule="auto"/>
        <w:rPr>
          <w:rFonts w:hint="default"/>
          <w:b w:val="0"/>
          <w:bCs w:val="0"/>
          <w:lang w:val="en-US" w:eastAsia="zh-CN"/>
        </w:rPr>
      </w:pPr>
    </w:p>
    <w:p w14:paraId="516902FE">
      <w:pPr>
        <w:spacing w:line="307" w:lineRule="auto"/>
        <w:rPr>
          <w:rFonts w:hint="default" w:ascii="Judson" w:hAnsi="Judson" w:cs="Judson"/>
          <w:bCs/>
          <w:sz w:val="24"/>
          <w:szCs w:val="24"/>
        </w:rPr>
      </w:pPr>
      <w:r>
        <w:rPr>
          <w:rFonts w:hint="eastAsia" w:ascii="Judson" w:hAnsi="Judson" w:cs="Judson"/>
          <w:bCs/>
          <w:sz w:val="24"/>
          <w:szCs w:val="24"/>
        </w:rPr>
        <w:t>K</w:t>
      </w:r>
      <w:r>
        <w:rPr>
          <w:rFonts w:hint="default" w:ascii="Judson" w:hAnsi="Judson" w:cs="Judson"/>
          <w:bCs/>
          <w:sz w:val="24"/>
          <w:szCs w:val="24"/>
        </w:rPr>
        <w:t>ang Zhu, Xuechun Li, Alex Brown, Rujie Shi, Hee Seok Kim, Weishu Liu</w:t>
      </w:r>
    </w:p>
    <w:p w14:paraId="6A56D5C2">
      <w:pPr>
        <w:rPr>
          <w:rFonts w:hint="default" w:ascii="Judson" w:hAnsi="Judson" w:cs="Judson"/>
          <w:bCs/>
          <w:sz w:val="24"/>
          <w:szCs w:val="24"/>
        </w:rPr>
      </w:pPr>
      <w:r>
        <w:rPr>
          <w:rFonts w:hint="default" w:ascii="Judson" w:hAnsi="Judson" w:cs="Judson"/>
          <w:bCs/>
          <w:sz w:val="24"/>
          <w:szCs w:val="24"/>
        </w:rPr>
        <w:br w:type="page"/>
      </w:r>
    </w:p>
    <w:p w14:paraId="0C5465C9">
      <w:pPr>
        <w:spacing w:before="156" w:beforeLines="50" w:after="156" w:afterLines="50" w:line="30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1.Derivation of the original cumulative model</w:t>
      </w:r>
    </w:p>
    <w:p w14:paraId="1CD1832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This section presents the detailed derivation of the maximum COP and nondimensional cooling power density given by Eq. (3) in the original cumulative model. It starts from the one-dimensional governing equation of the thermal and electrical flow within a thermoelectric element in steady state,</w:t>
      </w:r>
    </w:p>
    <w:p w14:paraId="2CA01175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κ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Cs w:val="21"/>
                </w:rPr>
                <m:t>ρ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−Jτ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=0#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13CA7D23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where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is the current density from the cold to hot side of the element, and </w:t>
      </w:r>
      <w:r>
        <w:rPr>
          <w:rFonts w:ascii="Times New Roman" w:hAnsi="Times New Roman" w:cs="Times New Roman"/>
          <w:i/>
          <w:iCs/>
          <w:szCs w:val="21"/>
        </w:rPr>
        <w:t>x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is the coordinate in parallel to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. By integrating Eq. (S1) twice with respect to </w:t>
      </w:r>
      <w:r>
        <w:rPr>
          <w:rFonts w:ascii="Times New Roman" w:hAnsi="Times New Roman" w:cs="Times New Roman"/>
          <w:i/>
          <w:iCs/>
          <w:szCs w:val="21"/>
        </w:rPr>
        <w:t>x</w:t>
      </w:r>
      <w:r>
        <w:rPr>
          <w:rFonts w:ascii="Times New Roman" w:hAnsi="Times New Roman" w:cs="Times New Roman"/>
          <w:szCs w:val="21"/>
        </w:rPr>
        <w:t>, the following equations are obtained,</w:t>
      </w:r>
    </w:p>
    <w:p w14:paraId="5A2F7411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κ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−J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τ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=0#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69848D89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κ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−J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τ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x+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=0#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1D36A70D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Applying the boundary conditions, </w:t>
      </w:r>
      <m:oMath>
        <m:r>
          <m:rPr/>
          <w:rPr>
            <w:rFonts w:ascii="Cambria Math" w:hAnsi="Cambria Math" w:cs="Times New Roman"/>
            <w:szCs w:val="21"/>
          </w:rPr>
          <m:t>T=</m:t>
        </m:r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T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c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at </w:t>
      </w:r>
      <m:oMath>
        <m:r>
          <m:rPr/>
          <w:rPr>
            <w:rFonts w:ascii="Cambria Math" w:hAnsi="Cambria Math" w:cs="Times New Roman"/>
            <w:szCs w:val="21"/>
          </w:rPr>
          <m:t>x=0</m:t>
        </m:r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m:oMath>
        <m:r>
          <m:rPr/>
          <w:rPr>
            <w:rFonts w:ascii="Cambria Math" w:hAnsi="Cambria Math" w:cs="Times New Roman"/>
            <w:szCs w:val="21"/>
          </w:rPr>
          <m:t>T=</m:t>
        </m:r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T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h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at </w:t>
      </w:r>
      <m:oMath>
        <m:r>
          <m:rPr/>
          <w:rPr>
            <w:rFonts w:ascii="Cambria Math" w:hAnsi="Cambria Math" w:cs="Times New Roman"/>
            <w:szCs w:val="21"/>
          </w:rPr>
          <m:t>x=L</m:t>
        </m:r>
      </m:oMath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to the above integral equations, where </w:t>
      </w:r>
      <w:r>
        <w:rPr>
          <w:rFonts w:ascii="Times New Roman" w:hAnsi="Times New Roman" w:cs="Times New Roman"/>
          <w:i/>
          <w:iCs/>
          <w:szCs w:val="21"/>
        </w:rPr>
        <w:t>L</w:t>
      </w:r>
      <w:r>
        <w:rPr>
          <w:rFonts w:ascii="Times New Roman" w:hAnsi="Times New Roman" w:cs="Times New Roman"/>
          <w:szCs w:val="21"/>
        </w:rPr>
        <w:t xml:space="preserve"> is the length of the element,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C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1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C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2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are deduced as</w:t>
      </w:r>
    </w:p>
    <w:p w14:paraId="54B34EE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=0#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4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7DE5C734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</w:p>
    <w:p w14:paraId="7318224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=−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x=0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nary>
                        <m:naryPr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0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ρ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−J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nary>
                        <m:naryPr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τ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5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7FE8F375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Thus, the cooling power density, i.e., the heat flux at the cold side is given by</w:t>
      </w:r>
    </w:p>
    <w:p w14:paraId="26D0C9B7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q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κ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+J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nary>
                        <m:naryPr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τ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−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6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32D72ED9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electric power input is given by</w:t>
      </w:r>
    </w:p>
    <w:p w14:paraId="042D0B9C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P=I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I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Cs w:val="21"/>
                </w:rPr>
                <m:t>R#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7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4F230BC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where </w:t>
      </w:r>
      <m:oMath>
        <m:r>
          <m:rPr/>
          <w:rPr>
            <w:rFonts w:ascii="Cambria Math" w:hAnsi="Cambria Math" w:cs="Times New Roman"/>
            <w:szCs w:val="21"/>
          </w:rPr>
          <m:t>I=JA</m:t>
        </m:r>
      </m:oMath>
      <w:r>
        <w:rPr>
          <w:rFonts w:ascii="Times New Roman" w:hAnsi="Times New Roman" w:cs="Times New Roman"/>
          <w:szCs w:val="21"/>
        </w:rPr>
        <w:t xml:space="preserve"> is the electric current and </w:t>
      </w:r>
      <m:oMath>
        <m:r>
          <m:rPr/>
          <w:rPr>
            <w:rFonts w:ascii="Cambria Math" w:hAnsi="Cambria Math" w:cs="Times New Roman"/>
            <w:szCs w:val="21"/>
          </w:rPr>
          <m:t>R=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m:rPr/>
              <w:rPr>
                <w:rFonts w:ascii="Cambria Math" w:hAnsi="Cambria Math" w:cs="Times New Roman"/>
                <w:szCs w:val="21"/>
              </w:rPr>
              <m:t>1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r>
              <m:rPr/>
              <w:rPr>
                <w:rFonts w:ascii="Cambria Math" w:hAnsi="Cambria Math" w:cs="Times New Roman"/>
                <w:szCs w:val="21"/>
              </w:rPr>
              <m:t>A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szCs w:val="21"/>
              </w:rPr>
            </m:ctrlPr>
          </m:naryPr>
          <m:sub>
            <m:r>
              <m:rPr/>
              <w:rPr>
                <w:rFonts w:ascii="Cambria Math" w:hAnsi="Cambria Math" w:cs="Times New Roman"/>
                <w:szCs w:val="21"/>
              </w:rPr>
              <m:t>0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  <m:sup>
            <m:r>
              <m:rPr/>
              <w:rPr>
                <w:rFonts w:ascii="Cambria Math" w:hAnsi="Cambria Math" w:cs="Times New Roman"/>
                <w:szCs w:val="21"/>
              </w:rPr>
              <m:t>L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 w:cs="Times New Roman"/>
                <w:szCs w:val="21"/>
              </w:rPr>
              <m:t>ρ</m:t>
            </m:r>
            <m:d>
              <m:d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d</m:t>
            </m:r>
            <m:r>
              <m:rPr/>
              <w:rPr>
                <w:rFonts w:ascii="Cambria Math" w:hAnsi="Cambria Math" w:cs="Times New Roman"/>
                <w:szCs w:val="21"/>
              </w:rPr>
              <m:t>x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</m:nary>
      </m:oMath>
      <w:r>
        <w:rPr>
          <w:rFonts w:ascii="Times New Roman" w:hAnsi="Times New Roman" w:cs="Times New Roman"/>
          <w:szCs w:val="21"/>
        </w:rPr>
        <w:t xml:space="preserve"> is the electric resistance of the element</w:t>
      </w:r>
      <w:r>
        <w:rPr>
          <w:rFonts w:hint="eastAsia"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Divided by the cross-sectional area </w:t>
      </w:r>
      <w:r>
        <w:rPr>
          <w:rFonts w:ascii="Times New Roman" w:hAnsi="Times New Roman" w:cs="Times New Roman"/>
          <w:i/>
          <w:iCs/>
          <w:szCs w:val="21"/>
        </w:rPr>
        <w:t>A</w:t>
      </w:r>
      <w:r>
        <w:rPr>
          <w:rFonts w:ascii="Times New Roman" w:hAnsi="Times New Roman" w:cs="Times New Roman"/>
          <w:szCs w:val="21"/>
        </w:rPr>
        <w:t>, the input power density is</w:t>
      </w:r>
    </w:p>
    <w:p w14:paraId="0E88B727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P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dens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=J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2DE71A6D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Prior to further derivation, the integral terms with respect to </w:t>
      </w:r>
      <w:r>
        <w:rPr>
          <w:rFonts w:ascii="Times New Roman" w:hAnsi="Times New Roman" w:cs="Times New Roman"/>
          <w:i/>
          <w:iCs/>
          <w:szCs w:val="21"/>
        </w:rPr>
        <w:t>x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are converted into those with respect to </w:t>
      </w:r>
      <w:r>
        <w:rPr>
          <w:rFonts w:ascii="Times New Roman" w:hAnsi="Times New Roman" w:cs="Times New Roman"/>
          <w:i/>
          <w:iCs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 assuming a linear relation between </w:t>
      </w:r>
      <w:r>
        <w:rPr>
          <w:rFonts w:ascii="Times New Roman" w:hAnsi="Times New Roman" w:cs="Times New Roman"/>
          <w:i/>
          <w:iCs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i/>
          <w:iCs/>
          <w:szCs w:val="21"/>
        </w:rPr>
        <w:t>x</w:t>
      </w:r>
      <w:r>
        <w:rPr>
          <w:rFonts w:ascii="Times New Roman" w:hAnsi="Times New Roman" w:cs="Times New Roman"/>
          <w:szCs w:val="21"/>
        </w:rPr>
        <w:t>,</w:t>
      </w:r>
    </w:p>
    <w:p w14:paraId="15ED9779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f>
                    <m:fPr>
                      <m:ctrlPr>
                        <w:rPr>
                          <w:rFonts w:ascii="Cambria Math" w:hAnsi="Cambria Math" w:cs="Times New Roman"/>
                          <w:iCs/>
                          <w:szCs w:val="21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Cs/>
                          <w:szCs w:val="21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Cs/>
                          <w:szCs w:val="21"/>
                        </w:rPr>
                      </m:ctrlP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≈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∆T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9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56D8C88F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≈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5592FA5A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τ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≈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∆T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τ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029B37D3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Introducing the nondimensional factors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W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J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W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T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ascii="Times New Roman" w:hAnsi="Times New Roman" w:cs="Times New Roman"/>
          <w:szCs w:val="21"/>
        </w:rPr>
        <w:t xml:space="preserve"> given by Eq. (5), the cooling power density and electric power density are rewritten as</w:t>
      </w:r>
    </w:p>
    <w:p w14:paraId="17B9471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q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κ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+J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τ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−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W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∆T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39E7E723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P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dens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=J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∆T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109B0EA5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According to Eq. (S12), the maximum cooling power density is reached as</w:t>
      </w:r>
    </w:p>
    <w:p w14:paraId="278D9D1F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q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c,max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=−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κ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S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W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nary>
                            <m:naryPr>
                              <m:limLoc m:val="subSup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naryPr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h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p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τ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1"/>
                                    </w:rPr>
                                  </m:ctrlP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d</m:t>
                              </m:r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nary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14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7ED1652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when</w:t>
      </w:r>
    </w:p>
    <w:p w14:paraId="42239B62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nary>
                        <m:naryPr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h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τ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15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6B0CDA3D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Substituting </w:t>
      </w:r>
      <m:oMath>
        <m:sSub>
          <m:sSubPr>
            <m:ctrlPr>
              <w:rPr>
                <w:rFonts w:ascii="Cambria Math" w:hAnsi="Cambria Math"/>
                <w:szCs w:val="21"/>
              </w:rPr>
            </m:ctrlPr>
          </m:sSubPr>
          <m:e>
            <m:r>
              <m:rPr/>
              <w:rPr>
                <w:rFonts w:ascii="Cambria Math" w:hAnsi="Cambria Math"/>
                <w:szCs w:val="21"/>
              </w:rPr>
              <m:t>α</m:t>
            </m:r>
            <m:ctrlPr>
              <w:rPr>
                <w:rFonts w:ascii="Cambria Math" w:hAnsi="Cambria Math"/>
                <w:szCs w:val="21"/>
              </w:rPr>
            </m:ctrlPr>
          </m:e>
          <m:sub>
            <m:r>
              <m:rPr/>
              <w:rPr>
                <w:rFonts w:ascii="Cambria Math" w:hAnsi="Cambria Math"/>
                <w:szCs w:val="21"/>
              </w:rPr>
              <m:t>0</m:t>
            </m:r>
            <m:ctrlPr>
              <w:rPr>
                <w:rFonts w:ascii="Cambria Math" w:hAnsi="Cambria Math"/>
                <w:szCs w:val="21"/>
              </w:rPr>
            </m:ctrlPr>
          </m:sub>
        </m:sSub>
        <m:r>
          <m:rPr/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r>
              <m:rPr/>
              <w:rPr>
                <w:rFonts w:ascii="Cambria Math" w:hAnsi="Cambria Math"/>
                <w:szCs w:val="21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c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</m:d>
            <m:r>
              <m:rPr/>
              <w:rPr>
                <w:rFonts w:ascii="Cambria Math" w:hAnsi="Cambria Math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W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nary>
              <m:naryPr>
                <m:grow m:val="1"/>
                <m:limLoc m:val="subSup"/>
                <m:ctrlPr>
                  <w:rPr>
                    <w:rFonts w:ascii="Cambria Math" w:hAnsi="Cambria Math"/>
                    <w:szCs w:val="21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c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szCs w:val="21"/>
                  </w:rPr>
                </m:ctrlPr>
              </m:sub>
              <m:sup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h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szCs w:val="21"/>
                  </w:rPr>
                </m:ctrlPr>
              </m:sup>
              <m:e>
                <m:r>
                  <m:rPr/>
                  <w:rPr>
                    <w:rFonts w:ascii="Cambria Math" w:hAnsi="Cambria Math"/>
                    <w:szCs w:val="21"/>
                  </w:rPr>
                  <m:t>τ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</m:d>
                <m:r>
                  <m:rPr/>
                  <w:rPr>
                    <w:rFonts w:ascii="Cambria Math" w:hAnsi="Cambria Math"/>
                    <w:szCs w:val="21"/>
                  </w:rPr>
                  <m:t>dT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</m:nary>
            <m:ctrlPr>
              <w:rPr>
                <w:rFonts w:ascii="Cambria Math" w:hAnsi="Cambria Math"/>
                <w:szCs w:val="21"/>
              </w:rPr>
            </m:ctrlPr>
          </m:num>
          <m:den>
            <m:nary>
              <m:naryPr>
                <m:grow m:val="1"/>
                <m:limLoc m:val="subSup"/>
                <m:ctrlPr>
                  <w:rPr>
                    <w:rFonts w:ascii="Cambria Math" w:hAnsi="Cambria Math"/>
                    <w:szCs w:val="21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c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szCs w:val="21"/>
                  </w:rPr>
                </m:ctrlPr>
              </m:sub>
              <m:sup>
                <m:sSub>
                  <m:sSubPr>
                    <m:ctrlPr>
                      <w:rPr>
                        <w:rFonts w:ascii="Cambria Math" w:hAnsi="Cambria Math"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h</m:t>
                    </m:r>
                    <m:ctrlPr>
                      <w:rPr>
                        <w:rFonts w:ascii="Cambria Math" w:hAnsi="Cambria Math"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szCs w:val="21"/>
                  </w:rPr>
                </m:ctrlPr>
              </m:sup>
              <m:e>
                <m:r>
                  <m:rPr/>
                  <w:rPr>
                    <w:rFonts w:ascii="Cambria Math" w:hAnsi="Cambria Math"/>
                    <w:szCs w:val="21"/>
                  </w:rPr>
                  <m:t>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</m:d>
                <m:r>
                  <m:rPr/>
                  <w:rPr>
                    <w:rFonts w:ascii="Cambria Math" w:hAnsi="Cambria Math"/>
                    <w:szCs w:val="21"/>
                  </w:rPr>
                  <m:t>dT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</m:nary>
            <m:ctrlPr>
              <w:rPr>
                <w:rFonts w:ascii="Cambria Math" w:hAnsi="Cambria Math"/>
                <w:szCs w:val="21"/>
              </w:rPr>
            </m:ctrlPr>
          </m:den>
        </m:f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into Eqs. (S14-15) and identifying </w:t>
      </w:r>
      <m:oMath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m:rPr/>
              <w:rPr>
                <w:rFonts w:ascii="Cambria Math" w:hAnsi="Cambria Math" w:cs="Times New Roman"/>
                <w:szCs w:val="21"/>
              </w:rPr>
              <m:t>1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r>
              <m:rPr/>
              <w:rPr>
                <w:rFonts w:ascii="Cambria Math" w:hAnsi="Cambria Math" w:cs="Times New Roman"/>
                <w:szCs w:val="21"/>
              </w:rPr>
              <m:t>L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szCs w:val="21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Cs w:val="21"/>
                  </w:rPr>
                  <m:t>c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Cs w:val="21"/>
              </w:rPr>
            </m:ctrlP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Cs w:val="21"/>
                  </w:rPr>
                  <m:t>h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 w:cs="Times New Roman"/>
                <w:szCs w:val="21"/>
              </w:rPr>
              <m:t>κ</m:t>
            </m:r>
            <m:d>
              <m:d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d</m:t>
            </m:r>
            <m:r>
              <m:rPr/>
              <w:rPr>
                <w:rFonts w:ascii="Cambria Math" w:hAnsi="Cambria Math" w:cs="Times New Roman"/>
                <w:szCs w:val="21"/>
              </w:rPr>
              <m:t>T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to be the thermal conducting heat flux under </w:t>
      </w:r>
      <m:oMath>
        <m:r>
          <m:rPr/>
          <w:rPr>
            <w:rFonts w:ascii="Cambria Math" w:hAnsi="Cambria Math" w:cs="Times New Roman"/>
            <w:szCs w:val="21"/>
          </w:rPr>
          <m:t>∆T</m:t>
        </m:r>
      </m:oMath>
      <w:r>
        <w:rPr>
          <w:rFonts w:ascii="Times New Roman" w:hAnsi="Times New Roman" w:cs="Times New Roman"/>
          <w:szCs w:val="21"/>
        </w:rPr>
        <w:t>, the expressions for the maximum nondimensional cooling power density and the corresponding electric current density are obtained,</w:t>
      </w:r>
    </w:p>
    <w:p w14:paraId="671D359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c, max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cond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nary>
                            <m:naryPr>
                              <m:grow m:val="1"/>
                              <m:limLoc m:val="subSup"/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naryPr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c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sub>
                            <m:sup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h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sup>
                            <m:e>
                              <m:r>
                                <m:rPr/>
                                <w:rPr>
                                  <w:rFonts w:ascii="Cambria Math" w:hAnsi="Cambria Math"/>
                                  <w:szCs w:val="21"/>
                                </w:rPr>
                                <m:t>S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e>
                              </m:d>
                              <m:r>
                                <m:rPr/>
                                <w:rPr>
                                  <w:rFonts w:ascii="Cambria Math" w:hAnsi="Cambria Math"/>
                                  <w:szCs w:val="21"/>
                                </w:rPr>
                                <m:t>dT</m:t>
                              </m:r>
                              <m:ctrlPr>
                                <w:rPr>
                                  <w:rFonts w:ascii="Cambria Math" w:hAnsi="Cambria Math"/>
                                  <w:szCs w:val="21"/>
                                </w:rPr>
                              </m:ctrlPr>
                            </m:e>
                          </m:nary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szCs w:val="21"/>
                    </w:rPr>
                  </m:ctrlPr>
                </m:num>
                <m:den>
                  <m:nary>
                    <m:naryPr>
                      <m:grow m:val="1"/>
                      <m:limLoc m:val="subSup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dT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nary>
                  <m:nary>
                    <m:naryPr>
                      <m:grow m:val="1"/>
                      <m:limLoc m:val="subSup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κ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dT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szCs w:val="21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Δ</m:t>
              </m:r>
              <m:r>
                <m:rPr/>
                <w:rPr>
                  <w:rFonts w:ascii="Cambria Math" w:hAnsi="Cambria Math"/>
                  <w:szCs w:val="21"/>
                </w:rPr>
                <m:t>T−1=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(ZT</m:t>
              </m:r>
              <m:sSub>
                <m:sSubPr>
                  <m:ctrlPr>
                    <w:rPr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)</m:t>
                  </m:r>
                  <m:ctrlPr>
                    <w:rPr>
                      <w:rFonts w:ascii="Cambria Math" w:hAnsi="Cambria Math"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eng</m:t>
                  </m:r>
                  <m:ctrlPr>
                    <w:rPr>
                      <w:rFonts w:ascii="Cambria Math" w:hAnsi="Cambria Math"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/>
                  <w:szCs w:val="21"/>
                </w:rPr>
                <m:t>−1</m:t>
              </m:r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16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669ED81F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nary>
                    <m:naryPr>
                      <m:grow m:val="1"/>
                      <m:limLoc m:val="subSup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dT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17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76D60269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COP is obtained by dividing the cooling power density by electric power density,</w:t>
      </w:r>
    </w:p>
    <w:p w14:paraId="0B277E9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COP=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+J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nary>
                        <m:naryPr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aryPr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h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τ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−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W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J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∆T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053037DB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Letting </w:t>
      </w:r>
      <m:oMath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d</m:t>
            </m:r>
            <m:r>
              <m:rPr/>
              <w:rPr>
                <w:rFonts w:ascii="Cambria Math" w:hAnsi="Cambria Math" w:cs="Times New Roman"/>
                <w:szCs w:val="21"/>
              </w:rPr>
              <m:t>COP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d</m:t>
            </m:r>
            <m:r>
              <m:rPr/>
              <w:rPr>
                <w:rFonts w:ascii="Cambria Math" w:hAnsi="Cambria Math" w:cs="Times New Roman"/>
                <w:szCs w:val="21"/>
              </w:rPr>
              <m:t>J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  <m:r>
          <m:rPr/>
          <w:rPr>
            <w:rFonts w:ascii="Cambria Math" w:hAnsi="Cambria Math" w:cs="Times New Roman"/>
            <w:szCs w:val="21"/>
          </w:rPr>
          <m:t>=0</m:t>
        </m:r>
      </m:oMath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the maximum COP and the corresponding electric current density are deduced after some algebra,</w:t>
      </w:r>
    </w:p>
    <w:p w14:paraId="25DB8D99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COP</m:t>
                  </m:r>
                  <m:ctrlPr>
                    <w:rPr>
                      <w:rFonts w:ascii="Cambria Math" w:hAnsi="Cambria Math" w:eastAsia="Cambria Math" w:cs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max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deg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(ZT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)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eng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rad>
                  <m:r>
                    <m:rPr/>
                    <w:rPr>
                      <w:rFonts w:ascii="Cambria Math" w:hAnsi="Cambria Math"/>
                      <w:szCs w:val="21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α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szCs w:val="21"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deg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(ZT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)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eng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rad>
                  <m:r>
                    <m:rPr/>
                    <w:rPr>
                      <w:rFonts w:ascii="Cambria Math" w:hAnsi="Cambria Math"/>
                      <w:szCs w:val="21"/>
                    </w:rPr>
                    <m:t>+1</m:t>
                  </m:r>
                  <m:ctrlPr>
                    <w:rPr>
                      <w:rFonts w:ascii="Cambria Math" w:hAnsi="Cambria Math"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19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72D3F38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J=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∆T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deg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α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(ZT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)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eng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</m:rad>
                  <m:r>
                    <m:rPr/>
                    <w:rPr>
                      <w:rFonts w:ascii="Cambria Math" w:hAnsi="Cambria Math"/>
                      <w:szCs w:val="21"/>
                    </w:rPr>
                    <m:t>−1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48329726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α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i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terms (</w:t>
      </w:r>
      <w:r>
        <w:rPr>
          <w:rFonts w:ascii="Times New Roman" w:hAnsi="Times New Roman" w:cs="Times New Roman"/>
          <w:i/>
          <w:iCs/>
          <w:szCs w:val="21"/>
        </w:rPr>
        <w:t>i</w:t>
      </w:r>
      <w:r>
        <w:rPr>
          <w:rFonts w:hint="eastAsia" w:ascii="Times New Roman" w:hAnsi="Times New Roman" w:cs="Times New Roman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0, 1, 2) are given by Eq. (4).</w:t>
      </w:r>
    </w:p>
    <w:p w14:paraId="24D9C057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</w:p>
    <w:p w14:paraId="57DD78A0">
      <w:pPr>
        <w:spacing w:after="156" w:afterLines="50" w:line="30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2.Refinement of the cumulative model</w:t>
      </w:r>
    </w:p>
    <w:p w14:paraId="66697A93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This section presents a refinement of the cumulative model based on a direct comparison between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r>
              <m:rPr/>
              <w:rPr>
                <w:rFonts w:ascii="Cambria Math" w:hAnsi="Cambria Math"/>
                <w:szCs w:val="21"/>
              </w:rPr>
              <m:t>0</m:t>
            </m:r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L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x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L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Δ</m:t>
            </m:r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bSup>
              <m:sSub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h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b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b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T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Assuming a linear relationship between the electric resistivity and temperature (which is not true for many TE materials over a relatively large temperature range, but it is sufficient in this context for a qualitative explanation),</w:t>
      </w:r>
    </w:p>
    <w:p w14:paraId="77903B2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ρ=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+γ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733B557C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integration of </w:t>
      </w:r>
      <m:oMath>
        <m:r>
          <m:rPr/>
          <w:rPr>
            <w:rFonts w:ascii="Cambria Math" w:hAnsi="Cambria Math"/>
            <w:szCs w:val="21"/>
          </w:rPr>
          <m:t>ρ</m:t>
        </m:r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 </w:t>
      </w:r>
      <m:oMath>
        <m:r>
          <m:rPr/>
          <w:rPr>
            <w:rFonts w:ascii="Cambria Math" w:hAnsi="Cambria Math"/>
            <w:szCs w:val="21"/>
          </w:rPr>
          <m:t>x</m:t>
        </m:r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is unfolded as</w:t>
      </w:r>
    </w:p>
    <w:p w14:paraId="464B66F7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ρ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0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+γ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T−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5B9E161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temperature evolution along the TE element is approximated by</w:t>
      </w:r>
    </w:p>
    <w:p w14:paraId="5708234C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r>
                <m:rPr/>
                <w:rPr>
                  <w:rFonts w:ascii="Cambria Math" w:hAnsi="Cambria Math" w:cs="Times New Roman"/>
                  <w:szCs w:val="21"/>
                </w:rPr>
                <m:t>T=−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Cs w:val="21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ρ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κ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 w:cs="Times New Roman"/>
                  <w:szCs w:val="21"/>
                </w:rPr>
                <m:t>x+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c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>
          </m:eqArr>
        </m:oMath>
      </m:oMathPara>
    </w:p>
    <w:p w14:paraId="6E3F0B6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under the constant-property assumption. So Eq. (S22) can be further unfolded as</w:t>
      </w:r>
    </w:p>
    <w:p w14:paraId="03A449E1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Cs w:val="21"/>
                </w:rPr>
                <m:t>+γ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ρ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6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κ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ρ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p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p>
                          </m:sSup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κ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Δ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24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0B2F4B6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L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Δ</m:t>
            </m:r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bSup>
              <m:sSub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h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b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b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T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is unfolded as</w:t>
      </w:r>
    </w:p>
    <w:p w14:paraId="7C62B7E4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ρ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Cs w:val="21"/>
                </w:rPr>
                <m:t>+γ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ρ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4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κ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ρ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p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p>
                          </m:sSup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κ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L+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Δ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25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7235947F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According to Eqs. (S24) and (S25),</w:t>
      </w:r>
    </w:p>
    <w:p w14:paraId="0C8EB0EB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26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925E6AF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From Eq. (S23) the location coordinate corresponding to the peak temperature is given by</w:t>
      </w:r>
    </w:p>
    <w:p w14:paraId="1E0FB413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szCs w:val="21"/>
                </w:rPr>
                <m:t>L+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27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B7BF0FA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Substituting it into Eq. (S26),</w:t>
      </w:r>
    </w:p>
    <w:p w14:paraId="3CD889E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eqArrPr>
            <m:e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96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κ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ρ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</m:acc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e>
                            <m:sup>
                              <m:r>
                                <m:rPr/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up>
                          </m:sSup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Δ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Cs w:val="21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16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γL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Δ</m:t>
              </m:r>
              <m:r>
                <m:rPr/>
                <w:rPr>
                  <w:rFonts w:ascii="Cambria Math" w:hAnsi="Cambria Math" w:cs="Times New Roman"/>
                  <w:szCs w:val="21"/>
                </w:rPr>
                <m:t>T+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28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A2E352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Substituting Eq. (S28) into Eq. (9), the cooling power density is given by</w:t>
      </w:r>
    </w:p>
    <w:p w14:paraId="39BA371E">
      <w:pPr>
        <w:spacing w:after="156" w:afterLines="50" w:line="300" w:lineRule="auto"/>
        <w:rPr>
          <w:rFonts w:ascii="Times New Roman" w:hAnsi="Times New Roman" w:cs="Times New Roman"/>
          <w:sz w:val="18"/>
          <w:szCs w:val="1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q</m:t>
                  </m: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c</m:t>
                  </m: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ub>
              </m:sSub>
              <m:r>
                <m:rPr/>
                <w:rPr>
                  <w:rFonts w:ascii="Cambria Math" w:hAnsi="Cambria Math"/>
                  <w:sz w:val="18"/>
                  <w:szCs w:val="18"/>
                </w:rPr>
                <m:t>=−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J</m:t>
                  </m: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d</m:t>
                  </m:r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e>
              </m:nary>
              <m:r>
                <m:rPr/>
                <w:rPr>
                  <w:rFonts w:ascii="Cambria Math" w:hAnsi="Cambria Math"/>
                  <w:sz w:val="18"/>
                  <w:szCs w:val="18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b>
                    <m: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'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18"/>
                        </w:rPr>
                        <m:t>d</m:t>
                      </m:r>
                      <m:r>
                        <m:rPr/>
                        <w:rPr>
                          <w:rFonts w:ascii="Cambria Math" w:hAnsi="Cambria Math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e>
              </m:d>
              <m:r>
                <m:rPr/>
                <w:rPr>
                  <w:rFonts w:ascii="Cambria Math" w:hAnsi="Cambria Math"/>
                  <w:sz w:val="18"/>
                  <w:szCs w:val="18"/>
                </w:rPr>
                <m:t>J−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96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acc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4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12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γ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κ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num>
                        <m:den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acc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ρ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acc>
                          <m:r>
                            <m:rPr/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Δ</m:t>
                          </m:r>
                          <m:r>
                            <m:rPr/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 w:val="18"/>
                  <w:szCs w:val="18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 w:val="18"/>
                      <w:szCs w:val="18"/>
                    </w:rPr>
                    <m:t>16</m:t>
                  </m: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en>
              </m:f>
              <m:r>
                <m:rPr/>
                <w:rPr>
                  <w:rFonts w:ascii="Cambria Math" w:hAnsi="Cambria Math"/>
                  <w:sz w:val="18"/>
                  <w:szCs w:val="18"/>
                </w:rPr>
                <m:t>γL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Δ</m:t>
              </m:r>
              <m:r>
                <m:rPr/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J</m:t>
                  </m: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up>
              </m:sSup>
              <m:r>
                <m:rPr/>
                <w:rPr>
                  <w:rFonts w:ascii="Cambria Math" w:hAnsi="Cambria Math"/>
                  <w:sz w:val="18"/>
                  <w:szCs w:val="1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S</m:t>
                  </m:r>
                  <m:r>
                    <m:rPr/>
                    <w:rPr>
                      <w:rFonts w:ascii="Cambria Math" w:hAnsi="Cambria Math"/>
                      <w:sz w:val="18"/>
                      <w:szCs w:val="18"/>
                    </w:rPr>
                    <m:t>29</m:t>
                  </m: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e>
          </m:eqArr>
        </m:oMath>
      </m:oMathPara>
    </w:p>
    <w:p w14:paraId="37E14FD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Only the first three terms are reserved here, thus</w:t>
      </w:r>
    </w:p>
    <w:p w14:paraId="59C0D20E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q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c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/>
                  <w:szCs w:val="21"/>
                </w:rPr>
                <m:t>=−</m:t>
              </m:r>
              <m:sSup>
                <m:sSupPr>
                  <m:ctrlPr>
                    <w:rPr>
                      <w:rFonts w:ascii="Cambria Math" w:hAnsi="Cambria Math"/>
                      <w:szCs w:val="21"/>
                    </w:rPr>
                  </m:ctrlPr>
                </m:sSup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J</m:t>
                  </m:r>
                  <m:ctrlPr>
                    <w:rPr>
                      <w:rFonts w:ascii="Cambria Math" w:hAnsi="Cambria Math"/>
                      <w:szCs w:val="21"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2</m:t>
                  </m:r>
                  <m:ctrlPr>
                    <w:rPr>
                      <w:rFonts w:ascii="Cambria Math" w:hAnsi="Cambria Math"/>
                      <w:szCs w:val="21"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  <w:szCs w:val="21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'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r>
                <m:rPr/>
                <w:rPr>
                  <w:rFonts w:ascii="Cambria Math" w:hAnsi="Cambria Math"/>
                  <w:szCs w:val="21"/>
                </w:rPr>
                <m:t>J−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30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54752F4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And the maximum cooling power density is</w:t>
      </w:r>
    </w:p>
    <w:p w14:paraId="2C463BC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q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c, max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</m:sSub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β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dPr>
                        <m:e>
                          <m:nary>
                            <m:naryPr>
                              <m:limLoc m:val="subSup"/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naryPr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c</m:t>
                                  </m:r>
                                  <m:ctrlPr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ub>
                            <m:sup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h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ub>
                                <m:sup>
                                  <m:r>
                                    <m:rPr/>
                                    <w:rPr>
                                      <w:rFonts w:ascii="Cambria Math" w:hAnsi="Cambria Math"/>
                                      <w:szCs w:val="21"/>
                                    </w:rPr>
                                    <m:t>'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1"/>
                                    </w:rPr>
                                  </m:ctrlPr>
                                </m:sup>
                              </m:sSubSup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sup>
                            <m:e>
                              <m:r>
                                <m:rPr/>
                                <w:rPr>
                                  <w:rFonts w:ascii="Cambria Math" w:hAnsi="Cambria Math"/>
                                  <w:szCs w:val="21"/>
                                </w:rPr>
                                <m:t>S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21"/>
                                </w:rPr>
                                <m:t>d</m:t>
                              </m:r>
                              <m:r>
                                <m:rPr/>
                                <w:rPr>
                                  <w:rFonts w:ascii="Cambria Math" w:hAnsi="Cambria Math"/>
                                  <w:szCs w:val="21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Cs w:val="21"/>
                                </w:rPr>
                              </m:ctrlPr>
                            </m:e>
                          </m:nary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'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ρ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nary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'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κ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zCs w:val="21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h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d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nary>
              <m:r>
                <m:rPr/>
                <w:rPr>
                  <w:rFonts w:ascii="Cambria Math" w:hAnsi="Cambria Math"/>
                  <w:szCs w:val="21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31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1D6EF7D0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q. (S31) is different from Eq. (13) by the additional term </w:t>
      </w:r>
      <m:oMath>
        <m:r>
          <m:rPr/>
          <w:rPr>
            <w:rFonts w:ascii="Cambria Math" w:hAnsi="Cambria Math"/>
            <w:szCs w:val="21"/>
          </w:rPr>
          <m:t>−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m:rPr/>
              <w:rPr>
                <w:rFonts w:ascii="Cambria Math" w:hAnsi="Cambria Math" w:cs="Times New Roman"/>
                <w:szCs w:val="21"/>
              </w:rPr>
              <m:t>1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r>
              <m:rPr/>
              <w:rPr>
                <w:rFonts w:ascii="Cambria Math" w:hAnsi="Cambria Math" w:cs="Times New Roman"/>
                <w:szCs w:val="21"/>
              </w:rPr>
              <m:t>8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  <m:r>
          <m:rPr/>
          <w:rPr>
            <w:rFonts w:ascii="Cambria Math" w:hAnsi="Cambria Math"/>
            <w:szCs w:val="21"/>
          </w:rPr>
          <m:t>γ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acc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κ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</m:acc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acc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ρ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</m:acc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Δ</m:t>
                </m:r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Cs w:val="21"/>
                  </w:rPr>
                  <m:t>2</m:t>
                </m:r>
                <m:ctrlPr>
                  <w:rPr>
                    <w:rFonts w:ascii="Cambria Math" w:hAnsi="Cambria Math" w:cs="Times New Roman"/>
                    <w:szCs w:val="21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r>
              <m:rPr/>
              <w:rPr>
                <w:rFonts w:ascii="Cambria Math" w:hAnsi="Cambria Math" w:cs="Times New Roman"/>
                <w:szCs w:val="21"/>
              </w:rPr>
              <m:t>L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</m:oMath>
      <w:r>
        <w:rPr>
          <w:rFonts w:ascii="Times New Roman" w:hAnsi="Times New Roman" w:cs="Times New Roman"/>
          <w:szCs w:val="21"/>
        </w:rPr>
        <w:t>. The nondimensional maximum cooling power density is given by</w:t>
      </w:r>
    </w:p>
    <w:p w14:paraId="4525AFD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c, max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cond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β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ZT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eng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bSup>
              <m:r>
                <m:rPr/>
                <w:rPr>
                  <w:rFonts w:ascii="Cambria Math" w:hAnsi="Cambria Math"/>
                  <w:szCs w:val="21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8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γ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κ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L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L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'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h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'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1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κ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1"/>
                        </w:rPr>
                        <m:t>d</m:t>
                      </m:r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nary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32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51D7BDAC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Substituting Eq. (7) into the above equation, and </w:t>
      </w:r>
      <w:r>
        <w:rPr>
          <w:rFonts w:hint="eastAsia" w:ascii="Times New Roman" w:hAnsi="Times New Roman" w:cs="Times New Roman"/>
          <w:szCs w:val="21"/>
        </w:rPr>
        <w:t>assuming</w:t>
      </w:r>
      <w:r>
        <w:rPr>
          <w:rFonts w:ascii="Times New Roman" w:hAnsi="Times New Roman" w:cs="Times New Roman"/>
          <w:szCs w:val="2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Cs w:val="21"/>
              </w:rPr>
            </m:ctrlPr>
          </m:accPr>
          <m:e>
            <m:r>
              <m:rPr/>
              <w:rPr>
                <w:rFonts w:ascii="Cambria Math" w:hAnsi="Cambria Math" w:cs="Times New Roman"/>
                <w:szCs w:val="21"/>
              </w:rPr>
              <m:t>κ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</m:acc>
        <m:r>
          <m:rPr/>
          <w:rPr>
            <w:rFonts w:ascii="Cambria Math" w:hAnsi="Cambria Math" w:cs="Times New Roman"/>
            <w:szCs w:val="21"/>
          </w:rPr>
          <m:t>≈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r>
              <m:rPr/>
              <w:rPr>
                <w:rFonts w:ascii="Cambria Math" w:hAnsi="Cambria Math"/>
                <w:szCs w:val="21"/>
              </w:rPr>
              <m:t>1</m:t>
            </m:r>
            <m:ctrlPr>
              <w:rPr>
                <w:rFonts w:ascii="Cambria Math" w:hAnsi="Cambria Math"/>
                <w:i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Δ</m:t>
            </m:r>
            <m:sSup>
              <m:sSup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 w:cs="Times New Roman"/>
                    <w:szCs w:val="21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Cs w:val="21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bSup>
              <m:sSub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h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b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b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κ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T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the following equation is obtained,</w:t>
      </w:r>
    </w:p>
    <w:p w14:paraId="5C943EE8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c, max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cond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β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ZT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eng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bSup>
              <m:r>
                <m:rPr/>
                <w:rPr>
                  <w:rFonts w:ascii="Cambria Math" w:hAnsi="Cambria Math"/>
                  <w:szCs w:val="21"/>
                </w:rPr>
                <m:t>−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4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zCs w:val="21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accPr>
                    <m:e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ρ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e>
                  </m:acc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zCs w:val="21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Z</m:t>
                  </m:r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  <w:szCs w:val="21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Δ</m:t>
                      </m:r>
                      <m:r>
                        <m:rPr/>
                        <w:rPr>
                          <w:rFonts w:ascii="Cambria Math" w:hAnsi="Cambria Math" w:cs="Times New Roman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/>
                              <w:szCs w:val="21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Cs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33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3E3E38CD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above equation can be generalized into</w:t>
      </w:r>
    </w:p>
    <w:p w14:paraId="7415E73D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1"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c, max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q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cond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β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sup>
                  </m:sSubSup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Cs w:val="21"/>
                    </w:rPr>
                    <m:t>4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en>
              </m:f>
              <m:sSubSup>
                <m:sSubSup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ZT</m:t>
                      </m:r>
                      <m:ctrlPr>
                        <w:rPr>
                          <w:rFonts w:ascii="Cambria Math" w:hAnsi="Cambria Math"/>
                          <w:i/>
                          <w:szCs w:val="21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eng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b>
                <m:sup>
                  <m:r>
                    <m:rPr/>
                    <w:rPr>
                      <w:rFonts w:ascii="Cambria Math" w:hAnsi="Cambria Math"/>
                      <w:szCs w:val="21"/>
                    </w:rPr>
                    <m:t>'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sup>
              </m:sSubSup>
              <m:r>
                <m:rPr/>
                <w:rPr>
                  <w:rFonts w:ascii="Cambria Math" w:hAnsi="Cambria Math"/>
                  <w:szCs w:val="21"/>
                </w:rPr>
                <m:t>−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β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ub>
              </m:sSub>
              <w:bookmarkStart w:id="0" w:name="OLE_LINK1"/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 w:cs="Times New Roman"/>
                      <w:szCs w:val="21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/>
                          <w:szCs w:val="21"/>
                        </w:rPr>
                        <m:t>c</m:t>
                      </m:r>
                      <m:ctrlPr>
                        <w:rPr>
                          <w:rFonts w:ascii="Cambria Math" w:hAnsi="Cambria Math"/>
                          <w:szCs w:val="21"/>
                        </w:rPr>
                      </m:ctrlPr>
                      <w:bookmarkEnd w:id="0"/>
                    </m:sub>
                  </m:sSub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en>
              </m:f>
              <m:r>
                <m:rPr/>
                <w:rPr>
                  <w:rFonts w:ascii="Cambria Math" w:hAnsi="Cambria Math"/>
                  <w:szCs w:val="21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S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34</m:t>
                  </m:r>
                  <m:ctrlPr>
                    <w:rPr>
                      <w:rFonts w:ascii="Cambria Math" w:hAnsi="Cambria Math"/>
                      <w:i/>
                      <w:szCs w:val="21"/>
                    </w:rPr>
                  </m:ctrlPr>
                </m:e>
              </m:d>
              <m:ctrlPr>
                <w:rPr>
                  <w:rFonts w:ascii="Cambria Math" w:hAnsi="Cambria Math"/>
                  <w:i/>
                  <w:szCs w:val="21"/>
                </w:rPr>
              </m:ctrlPr>
            </m:e>
          </m:eqArr>
        </m:oMath>
      </m:oMathPara>
    </w:p>
    <w:p w14:paraId="0754F60A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to account for different temperature dependences of </w:t>
      </w:r>
      <m:oMath>
        <m:r>
          <m:rPr/>
          <w:rPr>
            <w:rFonts w:ascii="Cambria Math" w:hAnsi="Cambria Math"/>
            <w:szCs w:val="21"/>
          </w:rPr>
          <m:t>ρ</m:t>
        </m:r>
      </m:oMath>
      <w:r>
        <w:rPr>
          <w:rFonts w:ascii="Times New Roman" w:hAnsi="Times New Roman" w:cs="Times New Roman"/>
          <w:szCs w:val="21"/>
        </w:rPr>
        <w:t xml:space="preserve">. From the above derivation, Eq. (14) is refined into Eq. (S34) to account for the difference between </w:t>
      </w:r>
      <m:oMath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r>
              <m:rPr/>
              <w:rPr>
                <w:rFonts w:ascii="Cambria Math" w:hAnsi="Cambria Math"/>
                <w:szCs w:val="21"/>
              </w:rPr>
              <m:t>0</m:t>
            </m:r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L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x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L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szCs w:val="21"/>
              </w:rPr>
              <m:t>Δ</m:t>
            </m:r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ctrlPr>
              <w:rPr>
                <w:rFonts w:ascii="Cambria Math" w:hAnsi="Cambria Math"/>
                <w:i/>
                <w:szCs w:val="21"/>
              </w:rPr>
            </m:ctrlPr>
          </m:den>
        </m:f>
        <m:nary>
          <m:naryPr>
            <m:limLoc m:val="subSup"/>
            <m:ctrlPr>
              <w:rPr>
                <w:rFonts w:ascii="Cambria Math" w:hAnsi="Cambria Math"/>
                <w:i/>
                <w:szCs w:val="21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ctrlPr>
              <w:rPr>
                <w:rFonts w:ascii="Cambria Math" w:hAnsi="Cambria Math"/>
                <w:i/>
                <w:szCs w:val="21"/>
              </w:rPr>
            </m:ctrlPr>
          </m:sub>
          <m:sup>
            <m:sSubSup>
              <m:sSub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h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b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bSup>
            <m:ctrlPr>
              <w:rPr>
                <w:rFonts w:ascii="Cambria Math" w:hAnsi="Cambria Math"/>
                <w:i/>
                <w:szCs w:val="21"/>
              </w:rPr>
            </m:ctrlPr>
          </m:sup>
          <m:e>
            <m:r>
              <m:rPr/>
              <w:rPr>
                <w:rFonts w:ascii="Cambria Math" w:hAnsi="Cambria Math"/>
                <w:szCs w:val="21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szCs w:val="21"/>
              </w:rPr>
              <m:t>d</m:t>
            </m:r>
            <m:r>
              <m:rPr/>
              <w:rPr>
                <w:rFonts w:ascii="Cambria Math" w:hAnsi="Cambria Math"/>
                <w:szCs w:val="21"/>
              </w:rPr>
              <m:t>T</m:t>
            </m:r>
            <m:ctrlPr>
              <w:rPr>
                <w:rFonts w:ascii="Cambria Math" w:hAnsi="Cambria Math"/>
                <w:i/>
                <w:szCs w:val="21"/>
              </w:rPr>
            </m:ctrlPr>
          </m:e>
        </m:nary>
      </m:oMath>
      <w:r>
        <w:rPr>
          <w:rFonts w:hint="eastAsia"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In this work 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m:rPr/>
              <w:rPr>
                <w:rFonts w:ascii="Cambria Math" w:hAnsi="Cambria Math" w:cs="Times New Roman"/>
                <w:szCs w:val="21"/>
              </w:rPr>
              <m:t>β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e>
          <m:sub>
            <m:r>
              <m:rPr/>
              <w:rPr>
                <w:rFonts w:ascii="Cambria Math" w:hAnsi="Cambria Math" w:cs="Times New Roman"/>
                <w:szCs w:val="21"/>
              </w:rPr>
              <m:t>1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sub>
        </m:sSub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is given by </w:t>
      </w:r>
      <m:oMath>
        <m:r>
          <m:rPr/>
          <w:rPr>
            <w:rFonts w:ascii="Cambria Math" w:hAnsi="Cambria Math"/>
            <w:szCs w:val="21"/>
          </w:rPr>
          <m:t>0.6</m:t>
        </m:r>
        <m:f>
          <m:fPr>
            <m:ctrlPr>
              <w:rPr>
                <w:rFonts w:ascii="Cambria Math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ρ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</m:d>
            <m:ctrlPr>
              <w:rPr>
                <w:rFonts w:ascii="Cambria Math" w:hAnsi="Cambria Math"/>
                <w:i/>
                <w:szCs w:val="21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Cs w:val="21"/>
                  </w:rPr>
                  <m:t>ρ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Cs w:val="21"/>
                  </w:rPr>
                  <m:t>'</m:t>
                </m:r>
                <m:ctrlPr>
                  <w:rPr>
                    <w:rFonts w:ascii="Cambria Math" w:hAnsi="Cambria Math"/>
                    <w:i/>
                    <w:szCs w:val="21"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  <w:szCs w:val="2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Cs w:val="21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Cs w:val="21"/>
                  </w:rPr>
                </m:ctrlPr>
              </m:e>
            </m:d>
            <m:ctrlPr>
              <w:rPr>
                <w:rFonts w:ascii="Cambria Math" w:hAnsi="Cambria Math"/>
                <w:i/>
                <w:szCs w:val="21"/>
              </w:rPr>
            </m:ctrlPr>
          </m:den>
        </m:f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based on an observation and analysis of the prediction errors of Eq. (14). The key of the above derivation is to identify </w:t>
      </w:r>
      <m:oMath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Δ</m:t>
            </m:r>
            <m:r>
              <m:rPr/>
              <w:rPr>
                <w:rFonts w:ascii="Cambria Math" w:hAnsi="Cambria Math" w:cs="Times New Roman"/>
                <w:szCs w:val="21"/>
              </w:rPr>
              <m:t>T</m:t>
            </m:r>
            <m:ctrlPr>
              <w:rPr>
                <w:rFonts w:ascii="Cambria Math" w:hAnsi="Cambria Math" w:cs="Times New Roman"/>
                <w:i/>
                <w:szCs w:val="21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szCs w:val="21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Cs w:val="21"/>
                  </w:rPr>
                  <m:t>T</m:t>
                </m:r>
                <m:ctrlPr>
                  <w:rPr>
                    <w:rFonts w:ascii="Cambria Math" w:hAnsi="Cambria Math"/>
                    <w:szCs w:val="21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Cs w:val="21"/>
                  </w:rPr>
                  <m:t>c</m:t>
                </m:r>
                <m:ctrlPr>
                  <w:rPr>
                    <w:rFonts w:ascii="Cambria Math" w:hAnsi="Cambria Math"/>
                    <w:szCs w:val="21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Cs w:val="21"/>
              </w:rPr>
            </m:ctrlPr>
          </m:den>
        </m:f>
      </m:oMath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as a critical correction term, which is confirmed by the appreciable improvement in the accuracy of Eq. (17) over Eq. (14).</w:t>
      </w:r>
    </w:p>
    <w:p w14:paraId="23A40451">
      <w:pPr>
        <w:spacing w:after="156" w:afterLines="50" w:line="300" w:lineRule="auto"/>
        <w:rPr>
          <w:rFonts w:ascii="Times New Roman" w:hAnsi="Times New Roman" w:cs="Times New Roman"/>
          <w:szCs w:val="21"/>
        </w:rPr>
      </w:pPr>
    </w:p>
    <w:p w14:paraId="616FA03E">
      <w:pPr>
        <w:spacing w:after="156" w:afterLines="50" w:line="30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3.Some of the calculating results</w:t>
      </w:r>
    </w:p>
    <w:p w14:paraId="126356B9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768725" cy="3371215"/>
            <wp:effectExtent l="0" t="0" r="317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2865" r="23718" b="14243"/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33712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2B5C7">
      <w:pPr>
        <w:spacing w:after="156" w:afterLines="50" w:line="300" w:lineRule="auto"/>
        <w:jc w:val="left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S1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Comparisons</w:t>
      </w:r>
      <w:r>
        <w:rPr>
          <w:rFonts w:ascii="Times New Roman" w:hAnsi="Times New Roman" w:cs="Times New Roman"/>
          <w:szCs w:val="21"/>
        </w:rPr>
        <w:t xml:space="preserve"> of predicted maximum COP by Eqs. (3a) and (1a) to numerical results (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hint="eastAsia" w:ascii="Times New Roman" w:hAnsi="Times New Roman" w:cs="Times New Roman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5-8)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p w14:paraId="629D9E35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886835" cy="3443605"/>
            <wp:effectExtent l="0" t="0" r="18415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rcRect l="2336" r="23190" b="13829"/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34436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FA280">
      <w:pPr>
        <w:spacing w:after="156" w:afterLines="50" w:line="300" w:lineRule="auto"/>
        <w:jc w:val="left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S2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Comparisons</w:t>
      </w:r>
      <w:r>
        <w:rPr>
          <w:rFonts w:ascii="Times New Roman" w:hAnsi="Times New Roman" w:cs="Times New Roman"/>
          <w:szCs w:val="21"/>
        </w:rPr>
        <w:t xml:space="preserve"> of predicted maximum nondimensional cooling power density by Eqs. (3b) and (2) to numerical results (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hint="eastAsia" w:ascii="Times New Roman" w:hAnsi="Times New Roman" w:cs="Times New Roman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5-8)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p w14:paraId="64C9AFFE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</w:p>
    <w:p w14:paraId="5DEEA71A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465830" cy="3254375"/>
            <wp:effectExtent l="0" t="0" r="127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rcRect l="2563" r="26959" b="13541"/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3254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730E">
      <w:pPr>
        <w:spacing w:after="156" w:afterLines="50" w:line="300" w:lineRule="auto"/>
        <w:jc w:val="left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S3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Comparisons</w:t>
      </w:r>
      <w:r>
        <w:rPr>
          <w:rFonts w:ascii="Times New Roman" w:hAnsi="Times New Roman" w:cs="Times New Roman"/>
          <w:szCs w:val="21"/>
        </w:rPr>
        <w:t xml:space="preserve"> of predicted maximum nondimensional cooling power density by Eqs. (12) and (14) to numerical results (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hint="eastAsia" w:ascii="Times New Roman" w:hAnsi="Times New Roman" w:cs="Times New Roman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5-8)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p w14:paraId="7883950F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808730" cy="3599815"/>
            <wp:effectExtent l="0" t="0" r="127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rcRect l="2711" r="26643" b="12786"/>
                    <a:stretch>
                      <a:fillRect/>
                    </a:stretch>
                  </pic:blipFill>
                  <pic:spPr>
                    <a:xfrm>
                      <a:off x="0" y="0"/>
                      <a:ext cx="3808800" cy="360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4A65">
      <w:pPr>
        <w:spacing w:after="156" w:afterLines="50" w:line="300" w:lineRule="auto"/>
        <w:jc w:val="left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S4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Comparisons</w:t>
      </w:r>
      <w:r>
        <w:rPr>
          <w:rFonts w:ascii="Times New Roman" w:hAnsi="Times New Roman" w:cs="Times New Roman"/>
          <w:szCs w:val="21"/>
        </w:rPr>
        <w:t xml:space="preserve"> of predicted maximum nondimensional cooling power density by Eqs. (16) and (17) to numerical results (</w:t>
      </w:r>
      <w:r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hint="eastAsia" w:ascii="Times New Roman" w:hAnsi="Times New Roman" w:cs="Times New Roman"/>
          <w:i/>
          <w:i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5-8)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p w14:paraId="5196E61F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</w:p>
    <w:p w14:paraId="1F04FEE7">
      <w:pPr>
        <w:spacing w:after="156" w:afterLines="50"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826510" cy="31165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rcRect l="2127" r="25303" b="22780"/>
                    <a:stretch>
                      <a:fillRect/>
                    </a:stretch>
                  </pic:blipFill>
                  <pic:spPr>
                    <a:xfrm>
                      <a:off x="0" y="0"/>
                      <a:ext cx="3827556" cy="31176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A149">
      <w:pPr>
        <w:spacing w:after="156" w:afterLines="50" w:line="300" w:lineRule="auto"/>
        <w:jc w:val="left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bookmarkStart w:id="1" w:name="_GoBack"/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Cs w:val="21"/>
        </w:rPr>
        <w:t xml:space="preserve"> S5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.</w:t>
      </w:r>
      <w:r>
        <w:rPr>
          <w:rFonts w:ascii="Times New Roman" w:hAnsi="Times New Roman" w:cs="Times New Roman"/>
          <w:szCs w:val="21"/>
        </w:rPr>
        <w:t xml:space="preserve"> Physical properties of the commercial P and N type thermoelectric materials for sub-ambient cooling</w:t>
      </w:r>
      <w:r>
        <w:rPr>
          <w:rFonts w:hint="eastAsia" w:ascii="Times New Roman" w:hAnsi="Times New Roman" w:cs="Times New Roman"/>
          <w:szCs w:val="21"/>
          <w:lang w:val="en-US" w:eastAsia="zh-CN"/>
        </w:rPr>
        <w:t>.</w:t>
      </w: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Judson">
    <w:panose1 w:val="02000603000000000000"/>
    <w:charset w:val="00"/>
    <w:family w:val="auto"/>
    <w:pitch w:val="default"/>
    <w:sig w:usb0="A00000FF" w:usb1="5000000B" w:usb2="00000000" w:usb3="00000000" w:csb0="00000093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E9"/>
    <w:rsid w:val="000C63BC"/>
    <w:rsid w:val="001A4FE9"/>
    <w:rsid w:val="00252277"/>
    <w:rsid w:val="00531CCC"/>
    <w:rsid w:val="00584413"/>
    <w:rsid w:val="00601144"/>
    <w:rsid w:val="00613894"/>
    <w:rsid w:val="00616460"/>
    <w:rsid w:val="00683455"/>
    <w:rsid w:val="00844574"/>
    <w:rsid w:val="009818EA"/>
    <w:rsid w:val="00D50204"/>
    <w:rsid w:val="00E80674"/>
    <w:rsid w:val="00FB171A"/>
    <w:rsid w:val="08F419BD"/>
    <w:rsid w:val="64D92503"/>
    <w:rsid w:val="6679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7"/>
    <w:link w:val="2"/>
    <w:semiHidden/>
    <w:qFormat/>
    <w:uiPriority w:val="99"/>
    <w:rPr>
      <w:sz w:val="20"/>
      <w:szCs w:val="20"/>
    </w:rPr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8</Pages>
  <Words>901</Words>
  <Characters>2149</Characters>
  <Lines>64</Lines>
  <Paragraphs>18</Paragraphs>
  <TotalTime>1</TotalTime>
  <ScaleCrop>false</ScaleCrop>
  <LinksUpToDate>false</LinksUpToDate>
  <CharactersWithSpaces>2424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2026-05-07T13:19:00Z</dcterms:created>
  <dc:creator>519847970@qq.com</dc:creator>
  <cp:lastModifiedBy>Mila</cp:lastModifiedBy>
  <cp:lastPrinted>2026-05-11T07:05:00Z</cp:lastPrinted>
  <dcterms:modified xsi:type="dcterms:W3CDTF">2026-07-31T06:55:14Z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eyJoZGlkIjoiOWI4NGE0NWE4YjVkYzUxMDE2Mjk5ZDM0MDhkODVhZDUiLCJ1c2VySWQiOiIyODE1MDM0OTMifQ==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BC94A96BEC2B47698796662434CB8C57_13</vt:lpwstr>
  </property>
</Properties>
</file>