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426435">
      <w:pPr>
        <w:spacing w:line="360" w:lineRule="auto"/>
        <w:jc w:val="center"/>
        <w:rPr>
          <w:rFonts w:hint="eastAsia" w:ascii="Times New Roman" w:hAnsi="Times New Roman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color w:val="auto"/>
          <w:sz w:val="32"/>
          <w:szCs w:val="32"/>
          <w:highlight w:val="none"/>
          <w:lang w:val="en-US"/>
        </w:rPr>
        <w:t>Supporting Information</w:t>
      </w:r>
      <w:r>
        <w:rPr>
          <w:rFonts w:hint="eastAsia" w:ascii="Times New Roman" w:hAnsi="Times New Roman" w:cs="Times New Roman"/>
          <w:b/>
          <w:bCs/>
          <w:color w:val="auto"/>
          <w:sz w:val="32"/>
          <w:szCs w:val="32"/>
          <w:highlight w:val="none"/>
          <w:lang w:val="en-US" w:eastAsia="zh-CN"/>
        </w:rPr>
        <w:t>---Tables</w:t>
      </w:r>
    </w:p>
    <w:p w14:paraId="460B6981">
      <w:pPr>
        <w:spacing w:line="360" w:lineRule="auto"/>
        <w:jc w:val="center"/>
        <w:rPr>
          <w:rFonts w:hint="default" w:ascii="Times New Roman" w:hAnsi="Times New Roman" w:cs="Times New Roman"/>
          <w:b/>
          <w:bCs/>
          <w:color w:val="auto"/>
          <w:sz w:val="32"/>
          <w:szCs w:val="32"/>
          <w:highlight w:val="none"/>
          <w:lang w:val="en-US" w:eastAsia="zh-CN"/>
        </w:rPr>
      </w:pPr>
    </w:p>
    <w:p w14:paraId="330B3E57">
      <w:pPr>
        <w:spacing w:line="360" w:lineRule="auto"/>
        <w:jc w:val="left"/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</w:rPr>
        <w:t>Table S</w:t>
      </w: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  <w:highlight w:val="none"/>
          <w:lang w:val="en-US" w:eastAsia="zh-CN"/>
        </w:rPr>
        <w:t>1.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eastAsia="宋体" w:cs="Times New Roman"/>
          <w:bCs/>
          <w:color w:val="auto"/>
          <w:sz w:val="24"/>
          <w:szCs w:val="24"/>
          <w:highlight w:val="none"/>
          <w:lang w:val="en-US" w:eastAsia="zh-CN"/>
        </w:rPr>
        <w:t>Functional layers abbreviations and full names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.</w:t>
      </w:r>
    </w:p>
    <w:tbl>
      <w:tblPr>
        <w:tblStyle w:val="3"/>
        <w:tblpPr w:leftFromText="180" w:rightFromText="180" w:vertAnchor="text" w:horzAnchor="margin" w:tblpY="72"/>
        <w:tblW w:w="4997" w:type="pct"/>
        <w:tblInd w:w="0" w:type="dxa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55"/>
        <w:gridCol w:w="7799"/>
      </w:tblGrid>
      <w:tr w14:paraId="25C63BA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2" w:hRule="atLeast"/>
        </w:trPr>
        <w:tc>
          <w:tcPr>
            <w:tcW w:w="831" w:type="pct"/>
            <w:tcBorders>
              <w:top w:val="single" w:color="auto" w:sz="8" w:space="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635776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Abbreviation</w:t>
            </w:r>
          </w:p>
        </w:tc>
        <w:tc>
          <w:tcPr>
            <w:tcW w:w="4168" w:type="pct"/>
            <w:tcBorders>
              <w:top w:val="single" w:color="auto" w:sz="8" w:space="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B1F2B1F">
            <w:pPr>
              <w:spacing w:line="360" w:lineRule="auto"/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bCs/>
                <w:color w:val="auto"/>
                <w:sz w:val="24"/>
                <w:szCs w:val="24"/>
                <w:highlight w:val="none"/>
                <w:lang w:val="en-US" w:eastAsia="zh-CN"/>
              </w:rPr>
              <w:t>Full name</w:t>
            </w:r>
          </w:p>
        </w:tc>
      </w:tr>
      <w:tr w14:paraId="63B7FBE3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" w:hRule="atLeast"/>
        </w:trPr>
        <w:tc>
          <w:tcPr>
            <w:tcW w:w="831" w:type="pct"/>
            <w:tcBorders>
              <w:top w:val="single" w:color="auto" w:sz="8" w:space="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0EA2A3D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HATCN</w:t>
            </w:r>
          </w:p>
        </w:tc>
        <w:tc>
          <w:tcPr>
            <w:tcW w:w="4168" w:type="pct"/>
            <w:tcBorders>
              <w:top w:val="single" w:color="auto" w:sz="8" w:space="0"/>
              <w:bottom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2633A14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D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ipyrazino[2,3-f:2′,3′-h]quinoxaline-2,3,6,7,10,11-hexacarbonitrile</w:t>
            </w:r>
          </w:p>
        </w:tc>
      </w:tr>
      <w:tr w14:paraId="54BF827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6" w:hRule="atLeast"/>
        </w:trPr>
        <w:tc>
          <w:tcPr>
            <w:tcW w:w="831" w:type="pct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4471F97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TAPC</w:t>
            </w:r>
          </w:p>
        </w:tc>
        <w:tc>
          <w:tcPr>
            <w:tcW w:w="4168" w:type="pct"/>
            <w:tcBorders>
              <w:top w:val="nil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7939B73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4,4′-</w:t>
            </w:r>
            <w:r>
              <w:rPr>
                <w:rFonts w:hint="default" w:ascii="Times New Roman" w:hAnsi="Times New Roman" w:cs="Times New Roman" w:eastAsiaTheme="minorEastAsia"/>
                <w:color w:val="auto"/>
                <w:sz w:val="24"/>
                <w:szCs w:val="24"/>
                <w:highlight w:val="none"/>
                <w:lang w:eastAsia="zh-CN"/>
              </w:rPr>
              <w:t>C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yclohexylidenebis[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4"/>
                <w:szCs w:val="24"/>
                <w:highlight w:val="none"/>
              </w:rPr>
              <w:t>N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,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4"/>
                <w:szCs w:val="24"/>
                <w:highlight w:val="none"/>
              </w:rPr>
              <w:t>N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-bis(4-methylphenyl)aniline]</w:t>
            </w:r>
          </w:p>
        </w:tc>
      </w:tr>
      <w:tr w14:paraId="7B645362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" w:hRule="atLeast"/>
        </w:trPr>
        <w:tc>
          <w:tcPr>
            <w:tcW w:w="83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1FBDF99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TCTA</w:t>
            </w:r>
          </w:p>
        </w:tc>
        <w:tc>
          <w:tcPr>
            <w:tcW w:w="41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BDD36A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T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ris[4-(carbazol-9-yl)phenyl]amine</w:t>
            </w:r>
          </w:p>
        </w:tc>
      </w:tr>
      <w:tr w14:paraId="7C9FD904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83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2DFDA8D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CP</w:t>
            </w:r>
          </w:p>
        </w:tc>
        <w:tc>
          <w:tcPr>
            <w:tcW w:w="41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0D0281D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1,3-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is(carbazol-9-yl)benzene</w:t>
            </w:r>
          </w:p>
        </w:tc>
      </w:tr>
      <w:tr w14:paraId="70F5E246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" w:hRule="atLeast"/>
        </w:trPr>
        <w:tc>
          <w:tcPr>
            <w:tcW w:w="83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B5571A8">
            <w:pPr>
              <w:spacing w:line="360" w:lineRule="auto"/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/>
                <w:iCs/>
                <w:color w:val="auto"/>
                <w:sz w:val="24"/>
                <w:szCs w:val="24"/>
                <w:highlight w:val="none"/>
                <w:lang w:val="en-US" w:eastAsia="zh-CN"/>
              </w:rPr>
              <w:t>m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CBP</w:t>
            </w:r>
          </w:p>
        </w:tc>
        <w:tc>
          <w:tcPr>
            <w:tcW w:w="41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7F5EF9B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3,3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-Di(9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4"/>
                <w:szCs w:val="24"/>
                <w:highlight w:val="none"/>
              </w:rPr>
              <w:t>H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-carbazol-9-yl)-1,1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’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-biphenyl</w:t>
            </w:r>
          </w:p>
        </w:tc>
      </w:tr>
      <w:tr w14:paraId="1D84F209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" w:hRule="atLeast"/>
        </w:trPr>
        <w:tc>
          <w:tcPr>
            <w:tcW w:w="83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3F696E2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PPF</w:t>
            </w:r>
          </w:p>
        </w:tc>
        <w:tc>
          <w:tcPr>
            <w:tcW w:w="41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60734E4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2,8-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B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is(diphenylphosphoryl)dibenzo[b,d]furan</w:t>
            </w:r>
          </w:p>
        </w:tc>
      </w:tr>
      <w:tr w14:paraId="24BF884A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" w:hRule="atLeast"/>
        </w:trPr>
        <w:tc>
          <w:tcPr>
            <w:tcW w:w="831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04609A1">
            <w:pPr>
              <w:spacing w:line="360" w:lineRule="auto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TmPyPB</w:t>
            </w:r>
          </w:p>
        </w:tc>
        <w:tc>
          <w:tcPr>
            <w:tcW w:w="4168" w:type="pct"/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9EC2E77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1,3,5-tri(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4"/>
                <w:szCs w:val="24"/>
                <w:highlight w:val="none"/>
              </w:rPr>
              <w:t>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-pyrid-3-yl-phenyl)benzene</w:t>
            </w:r>
          </w:p>
        </w:tc>
      </w:tr>
      <w:tr w14:paraId="48D18440"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2" w:hRule="atLeast"/>
        </w:trPr>
        <w:tc>
          <w:tcPr>
            <w:tcW w:w="831" w:type="pct"/>
            <w:tcBorders>
              <w:bottom w:val="single" w:color="auto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2DC386D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TPBi</w:t>
            </w:r>
          </w:p>
        </w:tc>
        <w:tc>
          <w:tcPr>
            <w:tcW w:w="4168" w:type="pct"/>
            <w:tcBorders>
              <w:bottom w:val="single" w:color="auto" w:sz="8" w:space="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56D9A9F">
            <w:pPr>
              <w:spacing w:line="360" w:lineRule="auto"/>
              <w:jc w:val="both"/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2,2',2"-(1,3,5-Benzinetriyl)-tris(1-phenyl-1-</w:t>
            </w:r>
            <w:r>
              <w:rPr>
                <w:rFonts w:hint="default" w:ascii="Times New Roman" w:hAnsi="Times New Roman" w:cs="Times New Roman"/>
                <w:i/>
                <w:iCs/>
                <w:color w:val="auto"/>
                <w:sz w:val="24"/>
                <w:szCs w:val="24"/>
                <w:highlight w:val="none"/>
              </w:rPr>
              <w:t>H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</w:rPr>
              <w:t>-benzimidazole)</w:t>
            </w:r>
          </w:p>
        </w:tc>
      </w:tr>
    </w:tbl>
    <w:p w14:paraId="28CB77D3">
      <w:pPr>
        <w:pStyle w:val="5"/>
        <w:spacing w:line="360" w:lineRule="auto"/>
        <w:jc w:val="left"/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highlight w:val="none"/>
          <w:lang w:eastAsia="zh-CN"/>
        </w:rPr>
      </w:pPr>
    </w:p>
    <w:p w14:paraId="20C094B3">
      <w:pPr>
        <w:spacing w:line="360" w:lineRule="auto"/>
        <w:jc w:val="left"/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</w:rPr>
        <w:t xml:space="preserve">Table </w:t>
      </w:r>
      <w:r>
        <w:rPr>
          <w:rFonts w:hint="default" w:ascii="Times New Roman" w:hAnsi="Times New Roman" w:eastAsia="宋体" w:cs="Times New Roman"/>
          <w:b/>
          <w:color w:val="auto"/>
          <w:sz w:val="24"/>
          <w:szCs w:val="24"/>
          <w:highlight w:val="none"/>
          <w:lang w:val="en-US" w:eastAsia="zh-CN"/>
        </w:rPr>
        <w:t>S2.</w:t>
      </w:r>
      <w:r>
        <w:rPr>
          <w:rFonts w:hint="default" w:ascii="Times New Roman" w:hAnsi="Times New Roman" w:cs="Times New Roman"/>
          <w:b/>
          <w:color w:val="auto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bCs/>
          <w:color w:val="auto"/>
          <w:sz w:val="24"/>
          <w:szCs w:val="24"/>
          <w:highlight w:val="none"/>
        </w:rPr>
        <w:t xml:space="preserve">The </w:t>
      </w:r>
      <w:r>
        <w:rPr>
          <w:rFonts w:hint="default" w:ascii="Times New Roman" w:hAnsi="Times New Roman" w:cs="Times New Roman"/>
          <w:color w:val="auto"/>
          <w:sz w:val="24"/>
          <w:szCs w:val="24"/>
          <w:highlight w:val="none"/>
        </w:rPr>
        <w:t>EL performances of OLEDs</w:t>
      </w:r>
      <w:r>
        <w:rPr>
          <w:rFonts w:hint="default" w:ascii="Times New Roman" w:hAnsi="Times New Roman" w:cs="Times New Roman" w:eastAsiaTheme="minorEastAsia"/>
          <w:color w:val="auto"/>
          <w:sz w:val="24"/>
          <w:szCs w:val="24"/>
          <w:highlight w:val="none"/>
          <w:lang w:eastAsia="zh-CN"/>
        </w:rPr>
        <w:t>.</w:t>
      </w:r>
    </w:p>
    <w:tbl>
      <w:tblPr>
        <w:tblStyle w:val="3"/>
        <w:tblpPr w:leftFromText="180" w:rightFromText="180" w:vertAnchor="text" w:horzAnchor="page" w:tblpXSpec="center" w:tblpY="65"/>
        <w:tblOverlap w:val="never"/>
        <w:tblW w:w="5000" w:type="pct"/>
        <w:jc w:val="center"/>
        <w:tblBorders>
          <w:top w:val="none" w:color="auto" w:sz="4" w:space="0"/>
          <w:left w:val="none" w:color="auto" w:sz="4" w:space="0"/>
          <w:bottom w:val="single" w:color="auto" w:sz="4" w:space="0"/>
          <w:right w:val="none" w:color="auto" w:sz="4" w:space="0"/>
          <w:insideH w:val="none" w:color="auto" w:sz="4" w:space="0"/>
          <w:insideV w:val="non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37"/>
        <w:gridCol w:w="917"/>
        <w:gridCol w:w="808"/>
        <w:gridCol w:w="1309"/>
        <w:gridCol w:w="1237"/>
        <w:gridCol w:w="1237"/>
        <w:gridCol w:w="1237"/>
        <w:gridCol w:w="1234"/>
      </w:tblGrid>
      <w:tr w14:paraId="44613588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6" w:hRule="atLeast"/>
          <w:jc w:val="center"/>
        </w:trPr>
        <w:tc>
          <w:tcPr>
            <w:tcW w:w="527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17154F9A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Reference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vertAlign w:val="superscript"/>
              </w:rPr>
              <w:t>a)</w:t>
            </w:r>
          </w:p>
        </w:tc>
        <w:tc>
          <w:tcPr>
            <w:tcW w:w="539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279B7FBE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+mn-ea" w:cs="Times New Roman"/>
                <w:i/>
                <w:iCs/>
                <w:color w:val="auto"/>
                <w:sz w:val="24"/>
                <w:szCs w:val="24"/>
                <w:highlight w:val="none"/>
                <w:lang w:val="el-GR"/>
              </w:rPr>
              <w:t>λ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bscript"/>
                <w:lang w:val="en-US" w:eastAsia="zh-CN"/>
              </w:rPr>
              <w:t>EL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(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lang w:val="el-GR"/>
              </w:rPr>
              <w:t>nm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)</w:t>
            </w:r>
          </w:p>
        </w:tc>
        <w:tc>
          <w:tcPr>
            <w:tcW w:w="480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138069BA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+mn-ea" w:cs="Times New Roman"/>
                <w:i/>
                <w:iCs/>
                <w:color w:val="auto"/>
                <w:sz w:val="24"/>
                <w:szCs w:val="24"/>
                <w:highlight w:val="none"/>
              </w:rPr>
              <w:t>V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bscript"/>
                <w:lang w:val="en-US" w:eastAsia="zh-CN"/>
              </w:rPr>
              <w:t>on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(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</w:rPr>
              <w:t>V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)</w:t>
            </w:r>
          </w:p>
        </w:tc>
        <w:tc>
          <w:tcPr>
            <w:tcW w:w="749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4064C5E8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/>
              </w:rPr>
            </w:pPr>
            <w:r>
              <w:rPr>
                <w:rFonts w:hint="default" w:ascii="Times New Roman" w:hAnsi="Times New Roman" w:eastAsia="+mn-ea" w:cs="Times New Roman"/>
                <w:i/>
                <w:iCs/>
                <w:color w:val="auto"/>
                <w:sz w:val="24"/>
                <w:szCs w:val="24"/>
                <w:highlight w:val="none"/>
              </w:rPr>
              <w:t>L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bscript"/>
                <w:lang w:val="en-US" w:eastAsia="zh-CN"/>
              </w:rPr>
              <w:t>max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 xml:space="preserve"> (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</w:rPr>
              <w:t>cd 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vertAlign w:val="superscript"/>
                <w:lang w:val="en-US"/>
              </w:rPr>
              <w:t>−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)</w:t>
            </w:r>
          </w:p>
        </w:tc>
        <w:tc>
          <w:tcPr>
            <w:tcW w:w="647" w:type="pct"/>
            <w:tcBorders>
              <w:top w:val="single" w:color="000000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75093E1A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+mn-ea" w:cs="Times New Roman"/>
                <w:i/>
                <w:iCs/>
                <w:color w:val="auto"/>
                <w:sz w:val="24"/>
                <w:szCs w:val="24"/>
                <w:highlight w:val="none"/>
                <w:lang w:val="el-GR"/>
              </w:rPr>
              <w:t>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bscript"/>
                <w:lang w:val="en-US" w:eastAsia="zh-CN"/>
              </w:rPr>
              <w:t xml:space="preserve">C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(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lang w:val="el-GR"/>
              </w:rPr>
              <w:t>cd A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vertAlign w:val="superscript"/>
                <w:lang w:val="en-US"/>
              </w:rPr>
              <w:t>−1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)</w:t>
            </w:r>
          </w:p>
        </w:tc>
        <w:tc>
          <w:tcPr>
            <w:tcW w:w="686" w:type="pct"/>
            <w:tcBorders>
              <w:top w:val="single" w:color="000000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7EA07011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+mn-ea" w:cs="Times New Roman"/>
                <w:i/>
                <w:iCs/>
                <w:color w:val="auto"/>
                <w:sz w:val="24"/>
                <w:szCs w:val="24"/>
                <w:highlight w:val="none"/>
                <w:lang w:val="el-GR"/>
              </w:rPr>
              <w:t>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bscript"/>
                <w:lang w:val="en-US" w:eastAsia="zh-CN"/>
              </w:rPr>
              <w:t>P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lang w:val="el-G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(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lang w:val="el-GR"/>
              </w:rPr>
              <w:t>lm W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vertAlign w:val="superscript"/>
                <w:lang w:val="en-US"/>
              </w:rPr>
              <w:t>−1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)</w:t>
            </w:r>
          </w:p>
        </w:tc>
        <w:tc>
          <w:tcPr>
            <w:tcW w:w="637" w:type="pct"/>
            <w:tcBorders>
              <w:top w:val="single" w:color="000000" w:sz="8" w:space="0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6BF8297E">
            <w:pPr>
              <w:spacing w:line="360" w:lineRule="auto"/>
              <w:jc w:val="both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+mn-ea" w:cs="Times New Roman"/>
                <w:i/>
                <w:iCs/>
                <w:color w:val="auto"/>
                <w:sz w:val="24"/>
                <w:szCs w:val="24"/>
                <w:highlight w:val="none"/>
                <w:lang w:val="el-GR"/>
              </w:rPr>
              <w:t>η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bscript"/>
                <w:lang w:val="en-US" w:eastAsia="zh-CN"/>
              </w:rPr>
              <w:t>ext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vertAlign w:val="subscript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(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</w:rPr>
              <w:t>%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)</w:t>
            </w:r>
          </w:p>
        </w:tc>
        <w:tc>
          <w:tcPr>
            <w:tcW w:w="733" w:type="pct"/>
            <w:vMerge w:val="restart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2A5CC794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</w:rPr>
              <w:t xml:space="preserve">CIE 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(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</w:rPr>
              <w:t>x, y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)</w:t>
            </w:r>
          </w:p>
        </w:tc>
      </w:tr>
      <w:tr w14:paraId="5B27B2F5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2" w:hRule="atLeast"/>
          <w:jc w:val="center"/>
        </w:trPr>
        <w:tc>
          <w:tcPr>
            <w:tcW w:w="527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 w14:paraId="604F8828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39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 w14:paraId="662759FE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480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 w14:paraId="0EB461F5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749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 w14:paraId="391EB112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970" w:type="pct"/>
            <w:gridSpan w:val="3"/>
            <w:tcBorders>
              <w:top w:val="single" w:color="auto" w:sz="8" w:space="0"/>
              <w:left w:val="nil"/>
              <w:bottom w:val="single" w:color="000000" w:sz="8" w:space="0"/>
              <w:right w:val="nil"/>
            </w:tcBorders>
            <w:shd w:val="clear" w:color="auto" w:fill="auto"/>
            <w:tcMar>
              <w:top w:w="17" w:type="dxa"/>
              <w:left w:w="122" w:type="dxa"/>
              <w:bottom w:w="0" w:type="dxa"/>
              <w:right w:w="122" w:type="dxa"/>
            </w:tcMar>
            <w:vAlign w:val="center"/>
          </w:tcPr>
          <w:p w14:paraId="697BDACD">
            <w:pPr>
              <w:spacing w:line="360" w:lineRule="auto"/>
              <w:jc w:val="center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lang w:val="el-GR"/>
              </w:rPr>
              <w:t>maximum value/at 100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</w:rPr>
              <w:t>0</w:t>
            </w:r>
            <w:r>
              <w:rPr>
                <w:rFonts w:hint="default" w:ascii="Times New Roman" w:hAnsi="Times New Roman" w:eastAsia="+mn-ea" w:cs="Times New Roman"/>
                <w:color w:val="auto"/>
                <w:sz w:val="24"/>
                <w:szCs w:val="24"/>
                <w:highlight w:val="none"/>
                <w:lang w:val="el-GR"/>
              </w:rPr>
              <w:t xml:space="preserve"> cd m</w:t>
            </w: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highlight w:val="none"/>
                <w:vertAlign w:val="superscript"/>
                <w:lang w:val="en-US"/>
              </w:rPr>
              <w:t>−</w:t>
            </w:r>
            <w:r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</w:p>
        </w:tc>
        <w:tc>
          <w:tcPr>
            <w:tcW w:w="733" w:type="pct"/>
            <w:vMerge w:val="continue"/>
            <w:tcBorders>
              <w:top w:val="single" w:color="000000" w:sz="8" w:space="0"/>
              <w:left w:val="nil"/>
              <w:bottom w:val="single" w:color="000000" w:sz="8" w:space="0"/>
              <w:right w:val="nil"/>
            </w:tcBorders>
            <w:vAlign w:val="center"/>
          </w:tcPr>
          <w:p w14:paraId="4F85CD74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</w:p>
        </w:tc>
      </w:tr>
      <w:tr w14:paraId="651D7A99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D09365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1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0576C9E7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448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92C6707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3.8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77955A6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04D7C6E8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2.94/-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4F660A9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2.00/-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5AE71DF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3.71/-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F748BA0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(0.1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, 0.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08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)</w:t>
            </w:r>
          </w:p>
        </w:tc>
      </w:tr>
      <w:tr w14:paraId="27C8210D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6F53AFD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2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8E4DBF7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450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ED78DAF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4.2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E6375A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1815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8A4492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3.4/-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1962DD7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49694315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63F5C63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(0.1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, 0.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)</w:t>
            </w:r>
          </w:p>
        </w:tc>
      </w:tr>
      <w:tr w14:paraId="2A6AF8E9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43A8B674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3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A6C6BF7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452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C76A4D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2.7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E9DC7B6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9197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603463E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6.19/-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6AA8A0B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5.11/-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77EB9D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6.09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3AB3708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(0.1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, 0.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)</w:t>
            </w:r>
          </w:p>
        </w:tc>
      </w:tr>
      <w:tr w14:paraId="4EB5C8B2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4DBD5A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4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0A0BE7C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436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1B8923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3.5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0CCE79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4036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FDCA55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4.01/-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4EC05B5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3.44/-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447C026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6.0/2.3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473EF72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(0.1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eastAsia="zh-CN"/>
              </w:rPr>
              <w:t>6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, 0.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08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)</w:t>
            </w:r>
          </w:p>
        </w:tc>
      </w:tr>
      <w:tr w14:paraId="1696774D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EE13E2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5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21AA182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448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2B2C04F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3.3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E88668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4739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1D10123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5.60/3.43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A255DE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3.76/2.00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68F432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5.64/3.46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10EF9EA">
            <w:pPr>
              <w:spacing w:line="360" w:lineRule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(0.1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, 0.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</w:rPr>
              <w:t>)</w:t>
            </w:r>
          </w:p>
        </w:tc>
      </w:tr>
      <w:tr w14:paraId="19D6B488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56B9107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AA77B08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418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627B24D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BF0305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1165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87BDA9D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1.16/-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427EA4DB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0.65/-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0F874E16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2.0/-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54CB646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(0.15, 0.07)</w:t>
            </w:r>
          </w:p>
        </w:tc>
      </w:tr>
      <w:tr w14:paraId="3DC1CE76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5CD89055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7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B25FF4B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436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BBFC818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076C37A2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3942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5D9EFF84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4.99/-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7BD579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3.14/-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5D670F4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7.51/-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EB841D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(0.15, 0.08)</w:t>
            </w:r>
          </w:p>
        </w:tc>
      </w:tr>
      <w:tr w14:paraId="619E7082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4F1A4F0C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8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F575275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404</w:t>
            </w:r>
          </w:p>
        </w:tc>
        <w:tc>
          <w:tcPr>
            <w:tcW w:w="48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40316D7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3.2</w:t>
            </w:r>
          </w:p>
        </w:tc>
        <w:tc>
          <w:tcPr>
            <w:tcW w:w="7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559002C2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4065</w:t>
            </w:r>
          </w:p>
        </w:tc>
        <w:tc>
          <w:tcPr>
            <w:tcW w:w="64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0C69F5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0.84/-</w:t>
            </w:r>
          </w:p>
        </w:tc>
        <w:tc>
          <w:tcPr>
            <w:tcW w:w="6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EDBEF2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0.48/-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467177A4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3.33/-</w:t>
            </w:r>
          </w:p>
        </w:tc>
        <w:tc>
          <w:tcPr>
            <w:tcW w:w="7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0A07A054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(0.16, 0.05)</w:t>
            </w:r>
          </w:p>
        </w:tc>
      </w:tr>
      <w:tr w14:paraId="79E9A60A">
        <w:tblPrEx>
          <w:tblBorders>
            <w:top w:val="none" w:color="auto" w:sz="4" w:space="0"/>
            <w:left w:val="none" w:color="auto" w:sz="4" w:space="0"/>
            <w:bottom w:val="single" w:color="auto" w:sz="4" w:space="0"/>
            <w:right w:val="none" w:color="auto" w:sz="4" w:space="0"/>
            <w:insideH w:val="none" w:color="auto" w:sz="4" w:space="0"/>
            <w:insideV w:val="non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9" w:hRule="atLeast"/>
          <w:jc w:val="center"/>
        </w:trPr>
        <w:tc>
          <w:tcPr>
            <w:tcW w:w="527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164F1BB2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[</w:t>
            </w:r>
            <w:r>
              <w:rPr>
                <w:rFonts w:hint="eastAsia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9</w:t>
            </w: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vertAlign w:val="superscript"/>
                <w:lang w:val="en-US" w:eastAsia="zh-CN"/>
              </w:rPr>
              <w:t>]</w:t>
            </w:r>
          </w:p>
        </w:tc>
        <w:tc>
          <w:tcPr>
            <w:tcW w:w="539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3E647CA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436</w:t>
            </w:r>
          </w:p>
        </w:tc>
        <w:tc>
          <w:tcPr>
            <w:tcW w:w="480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45CFF33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3.0</w:t>
            </w:r>
          </w:p>
        </w:tc>
        <w:tc>
          <w:tcPr>
            <w:tcW w:w="749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5EB73A3E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-</w:t>
            </w:r>
          </w:p>
        </w:tc>
        <w:tc>
          <w:tcPr>
            <w:tcW w:w="647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364239E3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2.79/2.30</w:t>
            </w:r>
          </w:p>
        </w:tc>
        <w:tc>
          <w:tcPr>
            <w:tcW w:w="686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25B37961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2.61/1.35</w:t>
            </w:r>
          </w:p>
        </w:tc>
        <w:tc>
          <w:tcPr>
            <w:tcW w:w="637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714455C0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4.95/4.36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tcMar>
              <w:top w:w="23" w:type="dxa"/>
              <w:left w:w="165" w:type="dxa"/>
              <w:bottom w:w="0" w:type="dxa"/>
              <w:right w:w="165" w:type="dxa"/>
            </w:tcMar>
            <w:vAlign w:val="center"/>
          </w:tcPr>
          <w:p w14:paraId="659AACF2">
            <w:pPr>
              <w:spacing w:line="360" w:lineRule="auto"/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color w:val="auto"/>
                <w:kern w:val="24"/>
                <w:sz w:val="24"/>
                <w:szCs w:val="24"/>
                <w:highlight w:val="none"/>
                <w:lang w:val="en-US" w:eastAsia="zh-CN"/>
              </w:rPr>
              <w:t>(0.15, 0.06)</w:t>
            </w:r>
          </w:p>
        </w:tc>
      </w:tr>
    </w:tbl>
    <w:p w14:paraId="25DC98A1">
      <w:pPr>
        <w:pStyle w:val="5"/>
        <w:spacing w:line="360" w:lineRule="auto"/>
        <w:jc w:val="both"/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highlight w:val="none"/>
          <w:lang w:eastAsia="zh-CN"/>
        </w:rPr>
      </w:pP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highlight w:val="none"/>
          <w:vertAlign w:val="superscript"/>
          <w:lang w:eastAsia="zh-CN"/>
        </w:rPr>
        <w:t>a)</w:t>
      </w:r>
      <w:r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Abbreviations: </w:t>
      </w:r>
      <w:r>
        <w:rPr>
          <w:rFonts w:hint="default" w:ascii="Times New Roman" w:hAnsi="Times New Roman" w:cs="Times New Roman"/>
          <w:b w:val="0"/>
          <w:bCs/>
          <w:i/>
          <w:color w:val="auto"/>
          <w:sz w:val="24"/>
          <w:szCs w:val="24"/>
          <w:highlight w:val="none"/>
        </w:rPr>
        <w:t>λ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  <w:vertAlign w:val="subscript"/>
        </w:rPr>
        <w:t>EL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 = electroluminescence peak at 5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highlight w:val="none"/>
          <w:lang w:eastAsia="zh-CN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V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highlight w:val="none"/>
          <w:lang w:eastAsia="zh-CN"/>
        </w:rPr>
        <w:t xml:space="preserve">;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highlight w:val="none"/>
        </w:rPr>
        <w:t>V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  <w:vertAlign w:val="subscript"/>
        </w:rPr>
        <w:t>on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 = turn-on voltage at 1 cd m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  <w:vertAlign w:val="superscript"/>
        </w:rPr>
        <w:t>−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highlight w:val="none"/>
          <w:vertAlign w:val="superscript"/>
          <w:lang w:eastAsia="zh-CN"/>
        </w:rPr>
        <w:t>2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; 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highlight w:val="none"/>
        </w:rPr>
        <w:t>L</w:t>
      </w:r>
      <w:r>
        <w:rPr>
          <w:rFonts w:hint="default" w:ascii="Times New Roman" w:hAnsi="Times New Roman" w:eastAsia="宋体" w:cs="Times New Roman"/>
          <w:b w:val="0"/>
          <w:bCs/>
          <w:iCs/>
          <w:color w:val="auto"/>
          <w:sz w:val="24"/>
          <w:szCs w:val="24"/>
          <w:highlight w:val="none"/>
          <w:vertAlign w:val="subscript"/>
        </w:rPr>
        <w:t>max</w:t>
      </w:r>
      <w:r>
        <w:rPr>
          <w:rFonts w:hint="default" w:ascii="Times New Roman" w:hAnsi="Times New Roman" w:cs="Times New Roman"/>
          <w:b w:val="0"/>
          <w:bCs/>
          <w:i/>
          <w:iCs/>
          <w:color w:val="auto"/>
          <w:sz w:val="24"/>
          <w:szCs w:val="24"/>
          <w:highlight w:val="none"/>
        </w:rPr>
        <w:t xml:space="preserve"> 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= maximum luminance; </w:t>
      </w:r>
      <w:r>
        <w:rPr>
          <w:rFonts w:hint="default" w:ascii="Times New Roman" w:hAnsi="Times New Roman" w:cs="Times New Roman"/>
          <w:b w:val="0"/>
          <w:bCs/>
          <w:i/>
          <w:color w:val="auto"/>
          <w:sz w:val="24"/>
          <w:szCs w:val="24"/>
          <w:highlight w:val="none"/>
        </w:rPr>
        <w:t>η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  <w:vertAlign w:val="subscript"/>
        </w:rPr>
        <w:t>C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/</w:t>
      </w:r>
      <w:r>
        <w:rPr>
          <w:rFonts w:hint="default" w:ascii="Times New Roman" w:hAnsi="Times New Roman" w:cs="Times New Roman"/>
          <w:b w:val="0"/>
          <w:bCs/>
          <w:i/>
          <w:color w:val="auto"/>
          <w:sz w:val="24"/>
          <w:szCs w:val="24"/>
          <w:highlight w:val="none"/>
        </w:rPr>
        <w:t>η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  <w:vertAlign w:val="subscript"/>
        </w:rPr>
        <w:t>P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/</w:t>
      </w:r>
      <w:r>
        <w:rPr>
          <w:rFonts w:hint="default" w:ascii="Times New Roman" w:hAnsi="Times New Roman" w:cs="Times New Roman"/>
          <w:b w:val="0"/>
          <w:bCs/>
          <w:i/>
          <w:color w:val="auto"/>
          <w:sz w:val="24"/>
          <w:szCs w:val="24"/>
          <w:highlight w:val="none"/>
        </w:rPr>
        <w:t>η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  <w:vertAlign w:val="subscript"/>
        </w:rPr>
        <w:t>ext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 = current efficiency/power efficiency/external quantum efficiency; CIE = Commission Internationale de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highlight w:val="none"/>
          <w:lang w:eastAsia="zh-CN"/>
        </w:rPr>
        <w:t>I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 xml:space="preserve">’Eclairage coordinates at 1000 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highlight w:val="none"/>
          <w:lang w:eastAsia="zh-CN"/>
        </w:rPr>
        <w:t>c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d m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  <w:vertAlign w:val="superscript"/>
        </w:rPr>
        <w:t>−</w:t>
      </w:r>
      <w:r>
        <w:rPr>
          <w:rFonts w:hint="default" w:ascii="Times New Roman" w:hAnsi="Times New Roman" w:eastAsia="宋体" w:cs="Times New Roman"/>
          <w:b w:val="0"/>
          <w:bCs/>
          <w:color w:val="auto"/>
          <w:sz w:val="24"/>
          <w:szCs w:val="24"/>
          <w:highlight w:val="none"/>
          <w:vertAlign w:val="superscript"/>
          <w:lang w:eastAsia="zh-CN"/>
        </w:rPr>
        <w:t>2</w:t>
      </w:r>
      <w:r>
        <w:rPr>
          <w:rFonts w:hint="default" w:ascii="Times New Roman" w:hAnsi="Times New Roman" w:cs="Times New Roman"/>
          <w:b w:val="0"/>
          <w:bCs/>
          <w:color w:val="auto"/>
          <w:sz w:val="24"/>
          <w:szCs w:val="24"/>
          <w:highlight w:val="none"/>
        </w:rPr>
        <w:t>.</w:t>
      </w:r>
    </w:p>
    <w:p w14:paraId="1AD8255E">
      <w:pPr>
        <w:pStyle w:val="5"/>
        <w:spacing w:line="360" w:lineRule="auto"/>
        <w:jc w:val="both"/>
        <w:rPr>
          <w:rFonts w:hint="default" w:ascii="Times New Roman" w:hAnsi="Times New Roman" w:cs="Times New Roman" w:eastAsiaTheme="minorEastAsia"/>
          <w:b w:val="0"/>
          <w:bCs/>
          <w:color w:val="auto"/>
          <w:sz w:val="24"/>
          <w:szCs w:val="24"/>
          <w:highlight w:val="none"/>
          <w:lang w:eastAsia="zh-CN"/>
        </w:rPr>
      </w:pPr>
    </w:p>
    <w:p w14:paraId="711E488F">
      <w:pPr>
        <w:snapToGrid w:val="0"/>
        <w:spacing w:line="360" w:lineRule="auto"/>
        <w:rPr>
          <w:rStyle w:val="6"/>
          <w:rFonts w:hint="default" w:ascii="Times New Roman" w:hAnsi="Times New Roman" w:cs="Times New Roman"/>
          <w:color w:val="auto"/>
          <w:sz w:val="24"/>
          <w:szCs w:val="24"/>
          <w:highlight w:val="none"/>
          <w:lang w:val="en-US"/>
        </w:rPr>
      </w:pPr>
      <w:r>
        <w:rPr>
          <w:rStyle w:val="6"/>
          <w:rFonts w:hint="default" w:ascii="Times New Roman" w:hAnsi="Times New Roman" w:cs="Times New Roman"/>
          <w:color w:val="auto"/>
          <w:sz w:val="24"/>
          <w:szCs w:val="24"/>
          <w:highlight w:val="none"/>
          <w:lang w:val="en-US"/>
        </w:rPr>
        <w:t>References</w:t>
      </w:r>
    </w:p>
    <w:p w14:paraId="7461A429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Ouyang MT, Guo RD, Jiang H, Wang Lei, Wong WY. Efficient blue and deep blue fluorescent OLEDs based on anthracene with upper-level intersystem crossing. J Lumin. 2023;263:120069.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"https://doi.org/10.1016/j.jlumin.2023.120069"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10.1016/j.jlumin.2023.120069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60E3A670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2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Zhang LT, Hu DH, Wang SP, Ma YG. High-performance solution-processed blue OLEDs based on “hot exciton” materials. J Lumin. 2024;273:120696.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"https://doi.org/10.1016/j.jlumin.2024.120696"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10.1016/j.jlumin.2024.120696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1875061C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Zhu BY, Sun T, Guo ST, Zhou HT, Shi W, Huang JH, et al. An efficient and stable blue-emission OLED based on the A-π-A configuration by “hot exciton” strategy. Dyes Pigm. 2023;215:111251.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"https://doi.org/10.1016/j.dyepig.2023.111251"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10.1016/j.dyepig.2023.111251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5C781778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4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Lu ZQ, Hu DH, Chen SW, Wang RC, Xing LJ, Zhu YH, et al. Oxygen-bridged triarylboron substituted anthracene emitters with high-lying triplet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singlet intersystem crossing for efficient deep-blue OLEDs. J Mater Chem. C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 2024;12:9929.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"https://doi.org/10.1039/D4TC01621A"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10.1039/D4TC01621A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06293262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Xu YW, Liang XM, Liang YQ, Guo XM, Hanif M, Zhou JD, et al. Efficient deep-blue fluorescent OLEDs with a high exciton utilization efficiency from a fully twisted phenanthroimidazole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-</w:t>
      </w:r>
      <w:bookmarkStart w:id="0" w:name="_GoBack"/>
      <w:bookmarkEnd w:id="0"/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anthracene emitter. ACS Appl Mater Interfaces. 2019;11(34):31139-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311</w:t>
      </w:r>
      <w:r>
        <w:rPr>
          <w:rFonts w:hint="default" w:ascii="Times New Roman" w:hAnsi="Times New Roman" w:eastAsia="宋体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46.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"https://doi.org/10.1021/acsami.9b10823"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10.1021/acsami.9b10823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757EA0A1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Li WJ, Pan YY, Yao L, Liu HC, Zhang ST, Wang C, et al. A hybridized local and charge-transfer excited state for Highly efficient fluorescent OLEDs: molecular design, spectral character, and full exciton utilization. Adv Opt Mater 2014;2(9):892-901.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"https://doi.org/10.1002/adom.201400154"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10.1002/adom.201400154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15E54830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7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Xu P, Xu L, Pan YY, Yang DZ, Ma ZT, Qiao XF, et al. Novel deep-blue hot exciton material for high-efficiency nondoped organic light-emitting diodes. J Mater Chem C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 2022;10(17):6596-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6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602.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"https://doi.org/10.1039/D2TC00877G"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10.1039/D2TC00877G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180F0B1E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8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Liu HC, Bai Q, Yao L, Zhang HY, Xu H, Zhang ST, et al. Highly efficient near ultraviolet organic light-emitting diode based on a meta-linked donor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-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acceptor molecule. Chem Sci 2015;6(7):3797-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3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804. 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instrText xml:space="preserve"> HYPERLINK "https://doi.org/10.1039/C5SC01131K" </w:instrTex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</w:rPr>
        <w:fldChar w:fldCharType="separate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10.1039/C5SC01131K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fldChar w:fldCharType="end"/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142A41C9">
      <w:pPr>
        <w:numPr>
          <w:ilvl w:val="0"/>
          <w:numId w:val="0"/>
        </w:numPr>
        <w:spacing w:line="360" w:lineRule="auto"/>
        <w:ind w:leftChars="0"/>
        <w:jc w:val="both"/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9</w:t>
      </w:r>
      <w:r>
        <w:rPr>
          <w:rFonts w:hint="default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Chen M, Yuan Y, Zheng J, Chen WC, Shi LJ, Zhu ZL, et al. Novel bipolar phenanthroimidazole derivative design for a nondoped deep-blue emitter with high singlet exciton yields. Adv Opt Mater. 2015;3(9):1215-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121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 xml:space="preserve">9. 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[DOI:</w:t>
      </w:r>
      <w:r>
        <w:rPr>
          <w:rFonts w:hint="default" w:ascii="Times New Roman" w:hAnsi="Times New Roman" w:cs="Times New Roman" w:eastAsiaTheme="minorEastAsia"/>
          <w:i w:val="0"/>
          <w:iCs w:val="0"/>
          <w:color w:val="auto"/>
          <w:sz w:val="24"/>
          <w:szCs w:val="24"/>
          <w:highlight w:val="none"/>
          <w:lang w:val="en-US" w:eastAsia="zh-CN"/>
        </w:rPr>
        <w:t>10.1002/adom.201500258</w:t>
      </w:r>
      <w:r>
        <w:rPr>
          <w:rFonts w:hint="eastAsia" w:ascii="Times New Roman" w:hAnsi="Times New Roman" w:cs="Times New Roman"/>
          <w:i w:val="0"/>
          <w:iCs w:val="0"/>
          <w:color w:val="auto"/>
          <w:sz w:val="24"/>
          <w:szCs w:val="24"/>
          <w:highlight w:val="none"/>
          <w:lang w:val="en-US" w:eastAsia="zh-CN"/>
        </w:rPr>
        <w:t>]</w:t>
      </w:r>
    </w:p>
    <w:p w14:paraId="3180F137">
      <w:pPr>
        <w:rPr>
          <w:rFonts w:hint="default" w:ascii="Times New Roman" w:hAnsi="Times New Roman" w:cs="Times New Roman"/>
          <w:i/>
          <w:iCs/>
          <w:sz w:val="24"/>
          <w:szCs w:val="24"/>
          <w:highlight w:val="none"/>
        </w:rPr>
      </w:pPr>
    </w:p>
    <w:sectPr>
      <w:footerReference r:id="rId3" w:type="default"/>
      <w:pgSz w:w="11906" w:h="16838"/>
      <w:pgMar w:top="1417" w:right="1417" w:bottom="1134" w:left="1417" w:header="708" w:footer="708" w:gutter="0"/>
      <w:lnNumType w:countBy="0" w:restart="continuous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  <w:font w:name="ScalaSansLF-Bold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+mn-ea">
    <w:altName w:val="MV Boli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MV Boli">
    <w:panose1 w:val="02000500030200090000"/>
    <w:charset w:val="00"/>
    <w:family w:val="auto"/>
    <w:pitch w:val="default"/>
    <w:sig w:usb0="00000003" w:usb1="00000000" w:usb2="00000100" w:usb3="00000000" w:csb0="0000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ECE54D2">
    <w:pPr>
      <w:pStyle w:val="2"/>
      <w:jc w:val="center"/>
      <w:rPr>
        <w:rFonts w:eastAsiaTheme="minorEastAsia"/>
        <w:lang w:eastAsia="zh-CN"/>
      </w:rPr>
    </w:pPr>
    <w:r>
      <w:fldChar w:fldCharType="begin"/>
    </w:r>
    <w:r>
      <w:instrText xml:space="preserve">PAGE   \* MERGEFORMAT</w:instrText>
    </w:r>
    <w:r>
      <w:fldChar w:fldCharType="separate"/>
    </w:r>
    <w:r>
      <w:t>2</w:t>
    </w:r>
    <w:r>
      <w:fldChar w:fldCharType="end"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6C0AAD"/>
    <w:rsid w:val="454E5127"/>
    <w:rsid w:val="50640B70"/>
    <w:rsid w:val="5B2F1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536"/>
        <w:tab w:val="right" w:pos="9072"/>
      </w:tabs>
    </w:pPr>
  </w:style>
  <w:style w:type="paragraph" w:customStyle="1" w:styleId="5">
    <w:name w:val="Head 1"/>
    <w:basedOn w:val="1"/>
    <w:qFormat/>
    <w:uiPriority w:val="0"/>
    <w:pPr>
      <w:spacing w:line="360" w:lineRule="auto"/>
    </w:pPr>
    <w:rPr>
      <w:b/>
      <w:lang w:val="en-US"/>
    </w:rPr>
  </w:style>
  <w:style w:type="character" w:customStyle="1" w:styleId="6">
    <w:name w:val="fontstyle01"/>
    <w:basedOn w:val="4"/>
    <w:qFormat/>
    <w:uiPriority w:val="0"/>
    <w:rPr>
      <w:rFonts w:hint="default" w:ascii="ScalaSansLF-Bold" w:hAnsi="ScalaSansLF-Bold"/>
      <w:b/>
      <w:bCs/>
      <w:color w:val="24202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575</Words>
  <Characters>3641</Characters>
  <Lines>0</Lines>
  <Paragraphs>0</Paragraphs>
  <TotalTime>48</TotalTime>
  <ScaleCrop>false</ScaleCrop>
  <LinksUpToDate>false</LinksUpToDate>
  <CharactersWithSpaces>4096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2024-11-14T05:26:00Z</dcterms:created>
  <dc:creator>PC</dc:creator>
  <cp:lastModifiedBy>Mila</cp:lastModifiedBy>
  <dcterms:modified xsi:type="dcterms:W3CDTF">2025-01-03T08:59:02Z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B9CDA22AE1CE4E27A229ADAA262F2D64_12</vt:lpwstr>
  </property>
  <property fmtid="{D5CDD505-2E9C-101B-9397-08002B2CF9AE}" pid="4" name="KSOTemplateDocerSaveRecord">
    <vt:lpwstr>eyJoZGlkIjoiODc5ZDRkZmU3Yzg3MmNiZjQwNjIyNmI1NTA3YjNmNDEiLCJ1c2VySWQiOiIyODE1MDM0OTMifQ==</vt:lpwstr>
  </property>
</Properties>
</file>