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19800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Table S1</w:t>
      </w:r>
      <w:r>
        <w:rPr>
          <w:rFonts w:ascii="Times New Roman" w:hAnsi="Times New Roman" w:cs="Times New Roman"/>
          <w:color w:val="000000"/>
          <w:sz w:val="24"/>
          <w:szCs w:val="24"/>
        </w:rPr>
        <w:t>. Crystal parameters for DTPF-ν-DABNA and DTP-ν-DABNA.</w:t>
      </w:r>
    </w:p>
    <w:tbl>
      <w:tblPr>
        <w:tblStyle w:val="3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8"/>
        <w:gridCol w:w="3196"/>
        <w:gridCol w:w="2648"/>
      </w:tblGrid>
      <w:tr w14:paraId="04028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  <w:jc w:val="center"/>
        </w:trPr>
        <w:tc>
          <w:tcPr>
            <w:tcW w:w="1571" w:type="pct"/>
            <w:tcBorders>
              <w:top w:val="single" w:color="auto" w:sz="8" w:space="0"/>
              <w:bottom w:val="single" w:color="auto" w:sz="8" w:space="0"/>
            </w:tcBorders>
            <w:noWrap/>
            <w:vAlign w:val="center"/>
          </w:tcPr>
          <w:p w14:paraId="47F1143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Identification code</w:t>
            </w:r>
          </w:p>
        </w:tc>
        <w:tc>
          <w:tcPr>
            <w:tcW w:w="1875" w:type="pct"/>
            <w:tcBorders>
              <w:top w:val="single" w:color="auto" w:sz="8" w:space="0"/>
              <w:bottom w:val="single" w:color="auto" w:sz="8" w:space="0"/>
            </w:tcBorders>
            <w:noWrap/>
            <w:vAlign w:val="center"/>
          </w:tcPr>
          <w:p w14:paraId="06A249A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DTPF-ν-DABNA</w:t>
            </w:r>
          </w:p>
        </w:tc>
        <w:tc>
          <w:tcPr>
            <w:tcW w:w="1554" w:type="pct"/>
            <w:tcBorders>
              <w:top w:val="single" w:color="auto" w:sz="8" w:space="0"/>
              <w:bottom w:val="single" w:color="auto" w:sz="8" w:space="0"/>
            </w:tcBorders>
            <w:noWrap/>
            <w:vAlign w:val="center"/>
          </w:tcPr>
          <w:p w14:paraId="1AEFFE7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DTP-ν-DABNA</w:t>
            </w:r>
          </w:p>
        </w:tc>
      </w:tr>
      <w:tr w14:paraId="7B92E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tcBorders>
              <w:top w:val="single" w:color="auto" w:sz="8" w:space="0"/>
            </w:tcBorders>
            <w:noWrap/>
            <w:vAlign w:val="center"/>
          </w:tcPr>
          <w:p w14:paraId="71507A4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Empirical formula</w:t>
            </w:r>
          </w:p>
        </w:tc>
        <w:tc>
          <w:tcPr>
            <w:tcW w:w="1875" w:type="pct"/>
            <w:tcBorders>
              <w:top w:val="single" w:color="auto" w:sz="8" w:space="0"/>
            </w:tcBorders>
            <w:noWrap/>
            <w:vAlign w:val="center"/>
          </w:tcPr>
          <w:p w14:paraId="3770005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554" w:type="pct"/>
            <w:tcBorders>
              <w:top w:val="single" w:color="auto" w:sz="8" w:space="0"/>
            </w:tcBorders>
            <w:vAlign w:val="center"/>
          </w:tcPr>
          <w:p w14:paraId="5EC9B78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4</w:t>
            </w:r>
          </w:p>
        </w:tc>
      </w:tr>
      <w:tr w14:paraId="1EF88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4E22E7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Formula weight</w:t>
            </w:r>
          </w:p>
        </w:tc>
        <w:tc>
          <w:tcPr>
            <w:tcW w:w="1875" w:type="pct"/>
            <w:noWrap/>
            <w:vAlign w:val="center"/>
          </w:tcPr>
          <w:p w14:paraId="2C16261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1291</w:t>
            </w:r>
          </w:p>
        </w:tc>
        <w:tc>
          <w:tcPr>
            <w:tcW w:w="1554" w:type="pct"/>
            <w:noWrap/>
            <w:vAlign w:val="center"/>
          </w:tcPr>
          <w:p w14:paraId="68BFBE6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1219.04</w:t>
            </w:r>
          </w:p>
        </w:tc>
      </w:tr>
      <w:tr w14:paraId="7916C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3E5D541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Temperature/K</w:t>
            </w:r>
          </w:p>
        </w:tc>
        <w:tc>
          <w:tcPr>
            <w:tcW w:w="1875" w:type="pct"/>
            <w:noWrap/>
            <w:vAlign w:val="center"/>
          </w:tcPr>
          <w:p w14:paraId="1D6F063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554" w:type="pct"/>
            <w:noWrap/>
            <w:vAlign w:val="center"/>
          </w:tcPr>
          <w:p w14:paraId="474D3C8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14:paraId="345C3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798CB9E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Crystal system</w:t>
            </w:r>
          </w:p>
        </w:tc>
        <w:tc>
          <w:tcPr>
            <w:tcW w:w="1875" w:type="pct"/>
            <w:noWrap/>
            <w:vAlign w:val="center"/>
          </w:tcPr>
          <w:p w14:paraId="26C54AB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monoclinic</w:t>
            </w:r>
          </w:p>
        </w:tc>
        <w:tc>
          <w:tcPr>
            <w:tcW w:w="1554" w:type="pct"/>
            <w:noWrap/>
            <w:vAlign w:val="center"/>
          </w:tcPr>
          <w:p w14:paraId="79CFCF9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triclinic</w:t>
            </w:r>
          </w:p>
        </w:tc>
      </w:tr>
      <w:tr w14:paraId="61740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518D00B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Space group</w:t>
            </w:r>
          </w:p>
        </w:tc>
        <w:tc>
          <w:tcPr>
            <w:tcW w:w="1875" w:type="pct"/>
            <w:noWrap/>
            <w:vAlign w:val="center"/>
          </w:tcPr>
          <w:p w14:paraId="2961252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/c</w:t>
            </w:r>
          </w:p>
        </w:tc>
        <w:tc>
          <w:tcPr>
            <w:tcW w:w="1554" w:type="pct"/>
            <w:noWrap/>
            <w:vAlign w:val="center"/>
          </w:tcPr>
          <w:p w14:paraId="0EDA22C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P-1</w:t>
            </w:r>
          </w:p>
        </w:tc>
      </w:tr>
      <w:tr w14:paraId="23270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3C8AE16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a/Å</w:t>
            </w:r>
          </w:p>
        </w:tc>
        <w:tc>
          <w:tcPr>
            <w:tcW w:w="1875" w:type="pct"/>
            <w:noWrap/>
            <w:vAlign w:val="center"/>
          </w:tcPr>
          <w:p w14:paraId="36F5052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17.1615(8)</w:t>
            </w:r>
          </w:p>
        </w:tc>
        <w:tc>
          <w:tcPr>
            <w:tcW w:w="1554" w:type="pct"/>
            <w:vAlign w:val="center"/>
          </w:tcPr>
          <w:p w14:paraId="70D47F5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13.8558(11)</w:t>
            </w:r>
          </w:p>
        </w:tc>
      </w:tr>
      <w:tr w14:paraId="341DF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2A7E033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b/Å</w:t>
            </w:r>
          </w:p>
        </w:tc>
        <w:tc>
          <w:tcPr>
            <w:tcW w:w="1875" w:type="pct"/>
            <w:noWrap/>
            <w:vAlign w:val="center"/>
          </w:tcPr>
          <w:p w14:paraId="3F4D858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14.0010(6)</w:t>
            </w:r>
          </w:p>
        </w:tc>
        <w:tc>
          <w:tcPr>
            <w:tcW w:w="1554" w:type="pct"/>
            <w:vAlign w:val="center"/>
          </w:tcPr>
          <w:p w14:paraId="1C09841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16.8935(15)</w:t>
            </w:r>
          </w:p>
        </w:tc>
      </w:tr>
      <w:tr w14:paraId="737E9D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7BF67BA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c/Å</w:t>
            </w:r>
          </w:p>
        </w:tc>
        <w:tc>
          <w:tcPr>
            <w:tcW w:w="1875" w:type="pct"/>
            <w:noWrap/>
            <w:vAlign w:val="center"/>
          </w:tcPr>
          <w:p w14:paraId="39F28F9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33.9349(16)</w:t>
            </w:r>
          </w:p>
        </w:tc>
        <w:tc>
          <w:tcPr>
            <w:tcW w:w="1554" w:type="pct"/>
            <w:vAlign w:val="center"/>
          </w:tcPr>
          <w:p w14:paraId="297B1FC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21.1023(18)</w:t>
            </w:r>
          </w:p>
        </w:tc>
      </w:tr>
      <w:tr w14:paraId="7901D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5B79E95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α/°</w:t>
            </w:r>
          </w:p>
        </w:tc>
        <w:tc>
          <w:tcPr>
            <w:tcW w:w="1875" w:type="pct"/>
            <w:noWrap/>
            <w:vAlign w:val="center"/>
          </w:tcPr>
          <w:p w14:paraId="6EF99D4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54" w:type="pct"/>
            <w:vAlign w:val="center"/>
          </w:tcPr>
          <w:p w14:paraId="79136B2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102.224(3)</w:t>
            </w:r>
          </w:p>
        </w:tc>
      </w:tr>
      <w:tr w14:paraId="16636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567B0E4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β/°</w:t>
            </w:r>
          </w:p>
        </w:tc>
        <w:tc>
          <w:tcPr>
            <w:tcW w:w="1875" w:type="pct"/>
            <w:noWrap/>
            <w:vAlign w:val="center"/>
          </w:tcPr>
          <w:p w14:paraId="49DF524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101.338(2)</w:t>
            </w:r>
          </w:p>
        </w:tc>
        <w:tc>
          <w:tcPr>
            <w:tcW w:w="1554" w:type="pct"/>
            <w:vAlign w:val="center"/>
          </w:tcPr>
          <w:p w14:paraId="1764F04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104.161(2)</w:t>
            </w:r>
          </w:p>
        </w:tc>
      </w:tr>
      <w:tr w14:paraId="171A6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7D767CF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γ/°</w:t>
            </w:r>
          </w:p>
        </w:tc>
        <w:tc>
          <w:tcPr>
            <w:tcW w:w="1875" w:type="pct"/>
            <w:noWrap/>
            <w:vAlign w:val="center"/>
          </w:tcPr>
          <w:p w14:paraId="45A46A3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554" w:type="pct"/>
            <w:vAlign w:val="center"/>
          </w:tcPr>
          <w:p w14:paraId="4F8AB3A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108.425(2)</w:t>
            </w:r>
          </w:p>
        </w:tc>
      </w:tr>
      <w:tr w14:paraId="1A28B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6BB7ACA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Volume/Å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5" w:type="pct"/>
            <w:noWrap/>
            <w:vAlign w:val="center"/>
          </w:tcPr>
          <w:p w14:paraId="0066DDC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7994.7(6)</w:t>
            </w:r>
          </w:p>
        </w:tc>
        <w:tc>
          <w:tcPr>
            <w:tcW w:w="1554" w:type="pct"/>
            <w:vAlign w:val="center"/>
          </w:tcPr>
          <w:p w14:paraId="0557F39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4313.7(6)</w:t>
            </w:r>
          </w:p>
        </w:tc>
      </w:tr>
      <w:tr w14:paraId="1046DD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2687E1A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</w:t>
            </w:r>
          </w:p>
        </w:tc>
        <w:tc>
          <w:tcPr>
            <w:tcW w:w="1875" w:type="pct"/>
            <w:noWrap/>
            <w:vAlign w:val="center"/>
          </w:tcPr>
          <w:p w14:paraId="45E7E30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4" w:type="pct"/>
            <w:vAlign w:val="center"/>
          </w:tcPr>
          <w:p w14:paraId="6BFE27B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14:paraId="0374E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099BAE9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calc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g/cm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5" w:type="pct"/>
            <w:noWrap/>
            <w:vAlign w:val="center"/>
          </w:tcPr>
          <w:p w14:paraId="3484BEE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1.073</w:t>
            </w:r>
          </w:p>
        </w:tc>
        <w:tc>
          <w:tcPr>
            <w:tcW w:w="1554" w:type="pct"/>
            <w:vAlign w:val="center"/>
          </w:tcPr>
          <w:p w14:paraId="639C6FA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0.939</w:t>
            </w:r>
          </w:p>
        </w:tc>
      </w:tr>
      <w:tr w14:paraId="1259B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3693C0C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μ/mm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noBreakHyphen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75" w:type="pct"/>
            <w:noWrap/>
            <w:vAlign w:val="center"/>
          </w:tcPr>
          <w:p w14:paraId="5D565A4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0.068</w:t>
            </w:r>
          </w:p>
        </w:tc>
        <w:tc>
          <w:tcPr>
            <w:tcW w:w="1554" w:type="pct"/>
            <w:vAlign w:val="center"/>
          </w:tcPr>
          <w:p w14:paraId="54D1DEB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0.054</w:t>
            </w:r>
          </w:p>
        </w:tc>
      </w:tr>
      <w:tr w14:paraId="519EC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16D5D32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F(000)</w:t>
            </w:r>
          </w:p>
        </w:tc>
        <w:tc>
          <w:tcPr>
            <w:tcW w:w="1875" w:type="pct"/>
            <w:noWrap/>
            <w:vAlign w:val="center"/>
          </w:tcPr>
          <w:p w14:paraId="24125EC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2680</w:t>
            </w:r>
          </w:p>
        </w:tc>
        <w:tc>
          <w:tcPr>
            <w:tcW w:w="1554" w:type="pct"/>
            <w:vAlign w:val="center"/>
          </w:tcPr>
          <w:p w14:paraId="6FCAC97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</w:t>
            </w:r>
          </w:p>
        </w:tc>
      </w:tr>
      <w:tr w14:paraId="75372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52ACA84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Crystal size/mm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5" w:type="pct"/>
            <w:noWrap/>
            <w:vAlign w:val="center"/>
          </w:tcPr>
          <w:p w14:paraId="44BF8EB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 × 0.08 × 0.05</w:t>
            </w:r>
          </w:p>
        </w:tc>
        <w:tc>
          <w:tcPr>
            <w:tcW w:w="1554" w:type="pct"/>
            <w:vAlign w:val="center"/>
          </w:tcPr>
          <w:p w14:paraId="03D3F3A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 × 0.07 × 0.04</w:t>
            </w:r>
          </w:p>
        </w:tc>
      </w:tr>
      <w:tr w14:paraId="128EE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5FA01BA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Radiation</w:t>
            </w:r>
          </w:p>
        </w:tc>
        <w:tc>
          <w:tcPr>
            <w:tcW w:w="1875" w:type="pct"/>
            <w:noWrap/>
            <w:vAlign w:val="center"/>
          </w:tcPr>
          <w:p w14:paraId="1C518D3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MoKα (λ = 0.71073)</w:t>
            </w:r>
          </w:p>
        </w:tc>
        <w:tc>
          <w:tcPr>
            <w:tcW w:w="1554" w:type="pct"/>
            <w:vAlign w:val="center"/>
          </w:tcPr>
          <w:p w14:paraId="7FA25B2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MoKα (λ = 0.71073)</w:t>
            </w:r>
          </w:p>
        </w:tc>
      </w:tr>
      <w:tr w14:paraId="651D5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0E81BC5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2Θ range for data collection/°</w:t>
            </w:r>
          </w:p>
        </w:tc>
        <w:tc>
          <w:tcPr>
            <w:tcW w:w="1875" w:type="pct"/>
            <w:noWrap/>
            <w:vAlign w:val="center"/>
          </w:tcPr>
          <w:p w14:paraId="222376B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3.828 to 51.422</w:t>
            </w:r>
          </w:p>
        </w:tc>
        <w:tc>
          <w:tcPr>
            <w:tcW w:w="1554" w:type="pct"/>
            <w:vAlign w:val="center"/>
          </w:tcPr>
          <w:p w14:paraId="458D9F1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3.884 to 52.884</w:t>
            </w:r>
          </w:p>
        </w:tc>
      </w:tr>
      <w:tr w14:paraId="501F1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316229A9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Index ranges</w:t>
            </w:r>
          </w:p>
        </w:tc>
        <w:tc>
          <w:tcPr>
            <w:tcW w:w="1875" w:type="pct"/>
            <w:noWrap/>
            <w:vAlign w:val="center"/>
          </w:tcPr>
          <w:p w14:paraId="1DE4F8A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 ≤ h ≤ 20, -17 ≤ k ≤ 16, -39 ≤ l ≤ 41</w:t>
            </w:r>
          </w:p>
        </w:tc>
        <w:tc>
          <w:tcPr>
            <w:tcW w:w="1554" w:type="pct"/>
            <w:vAlign w:val="center"/>
          </w:tcPr>
          <w:p w14:paraId="7425259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-15 ≤ h ≤ 17, -21 ≤ k ≤ 20, -26 ≤ l ≤ 26</w:t>
            </w:r>
          </w:p>
        </w:tc>
      </w:tr>
      <w:tr w14:paraId="0C8A9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54B2A1A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Reflections collected</w:t>
            </w:r>
          </w:p>
        </w:tc>
        <w:tc>
          <w:tcPr>
            <w:tcW w:w="1875" w:type="pct"/>
            <w:noWrap/>
            <w:vAlign w:val="center"/>
          </w:tcPr>
          <w:p w14:paraId="63EF74D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51828</w:t>
            </w:r>
          </w:p>
        </w:tc>
        <w:tc>
          <w:tcPr>
            <w:tcW w:w="1554" w:type="pct"/>
            <w:vAlign w:val="center"/>
          </w:tcPr>
          <w:p w14:paraId="7462C774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45482</w:t>
            </w:r>
          </w:p>
        </w:tc>
      </w:tr>
      <w:tr w14:paraId="10212A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3C79D98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Independent reflections</w:t>
            </w:r>
          </w:p>
        </w:tc>
        <w:tc>
          <w:tcPr>
            <w:tcW w:w="1875" w:type="pct"/>
            <w:noWrap/>
            <w:vAlign w:val="center"/>
          </w:tcPr>
          <w:p w14:paraId="299BC31A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14904 [R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int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0.0801, 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sigma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0.0827]</w:t>
            </w:r>
          </w:p>
        </w:tc>
        <w:tc>
          <w:tcPr>
            <w:tcW w:w="1554" w:type="pct"/>
            <w:vAlign w:val="center"/>
          </w:tcPr>
          <w:p w14:paraId="57987DD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17247 [R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int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0.0683, 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sigma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0.0938]</w:t>
            </w:r>
          </w:p>
        </w:tc>
      </w:tr>
      <w:tr w14:paraId="00617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636298D5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Data/restraints/parameters</w:t>
            </w:r>
          </w:p>
        </w:tc>
        <w:tc>
          <w:tcPr>
            <w:tcW w:w="1875" w:type="pct"/>
            <w:noWrap/>
            <w:vAlign w:val="center"/>
          </w:tcPr>
          <w:p w14:paraId="588E10E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14904/0/901</w:t>
            </w:r>
          </w:p>
        </w:tc>
        <w:tc>
          <w:tcPr>
            <w:tcW w:w="1554" w:type="pct"/>
            <w:vAlign w:val="center"/>
          </w:tcPr>
          <w:p w14:paraId="5D2C1D00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17247/0/865</w:t>
            </w:r>
          </w:p>
        </w:tc>
      </w:tr>
      <w:tr w14:paraId="51FF92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3755530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Goodness-of-fit on 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75" w:type="pct"/>
            <w:noWrap/>
            <w:vAlign w:val="center"/>
          </w:tcPr>
          <w:p w14:paraId="5F5ED37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1.039</w:t>
            </w:r>
          </w:p>
        </w:tc>
        <w:tc>
          <w:tcPr>
            <w:tcW w:w="1554" w:type="pct"/>
            <w:vAlign w:val="center"/>
          </w:tcPr>
          <w:p w14:paraId="53E34CA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1.048</w:t>
            </w:r>
          </w:p>
        </w:tc>
      </w:tr>
      <w:tr w14:paraId="69EEED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54A44CC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Final R indexes [I&gt;=2σ (I)]</w:t>
            </w:r>
          </w:p>
        </w:tc>
        <w:tc>
          <w:tcPr>
            <w:tcW w:w="1875" w:type="pct"/>
            <w:noWrap/>
            <w:vAlign w:val="center"/>
          </w:tcPr>
          <w:p w14:paraId="3E22806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0.0553, wR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0.1294</w:t>
            </w:r>
          </w:p>
        </w:tc>
        <w:tc>
          <w:tcPr>
            <w:tcW w:w="1554" w:type="pct"/>
            <w:vAlign w:val="center"/>
          </w:tcPr>
          <w:p w14:paraId="4CA4D0E6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0.0958, wR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0.2628</w:t>
            </w:r>
          </w:p>
        </w:tc>
      </w:tr>
      <w:tr w14:paraId="3B516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noWrap/>
            <w:vAlign w:val="center"/>
          </w:tcPr>
          <w:p w14:paraId="0E187C8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Final R indexes [all data]</w:t>
            </w:r>
          </w:p>
        </w:tc>
        <w:tc>
          <w:tcPr>
            <w:tcW w:w="1875" w:type="pct"/>
            <w:noWrap/>
            <w:vAlign w:val="center"/>
          </w:tcPr>
          <w:p w14:paraId="5C6EAE9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0.1013, wR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0.1487</w:t>
            </w:r>
          </w:p>
        </w:tc>
        <w:tc>
          <w:tcPr>
            <w:tcW w:w="1554" w:type="pct"/>
            <w:vAlign w:val="center"/>
          </w:tcPr>
          <w:p w14:paraId="1D2BFB38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0.1521, wR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= 0.2974</w:t>
            </w:r>
          </w:p>
        </w:tc>
      </w:tr>
      <w:tr w14:paraId="04FD42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71" w:type="pct"/>
            <w:tcBorders>
              <w:bottom w:val="single" w:color="auto" w:sz="8" w:space="0"/>
            </w:tcBorders>
            <w:noWrap/>
            <w:vAlign w:val="center"/>
          </w:tcPr>
          <w:p w14:paraId="3CFEDF7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Largest diff. peak/hole / e Å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-3</w:t>
            </w:r>
          </w:p>
        </w:tc>
        <w:tc>
          <w:tcPr>
            <w:tcW w:w="1875" w:type="pct"/>
            <w:tcBorders>
              <w:bottom w:val="single" w:color="auto" w:sz="8" w:space="0"/>
            </w:tcBorders>
            <w:noWrap/>
            <w:vAlign w:val="center"/>
          </w:tcPr>
          <w:p w14:paraId="18CEF3F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0.21/-0.22</w:t>
            </w:r>
          </w:p>
        </w:tc>
        <w:tc>
          <w:tcPr>
            <w:tcW w:w="1554" w:type="pct"/>
            <w:tcBorders>
              <w:bottom w:val="single" w:color="auto" w:sz="8" w:space="0"/>
            </w:tcBorders>
            <w:vAlign w:val="center"/>
          </w:tcPr>
          <w:p w14:paraId="5672964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0.66/-0.39</w:t>
            </w:r>
          </w:p>
        </w:tc>
      </w:tr>
    </w:tbl>
    <w:p w14:paraId="7EDAE1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00E85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S2.</w:t>
      </w:r>
      <w:r>
        <w:rPr>
          <w:rFonts w:ascii="Times New Roman" w:hAnsi="Times New Roman" w:cs="Times New Roman"/>
          <w:sz w:val="24"/>
          <w:szCs w:val="24"/>
        </w:rPr>
        <w:t xml:space="preserve"> Photophysical properties of DTP-ν-DABNA and DTPF-ν-DABNA.</w:t>
      </w:r>
    </w:p>
    <w:tbl>
      <w:tblPr>
        <w:tblStyle w:val="3"/>
        <w:tblW w:w="84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3"/>
        <w:gridCol w:w="1964"/>
        <w:gridCol w:w="1641"/>
        <w:gridCol w:w="1106"/>
        <w:gridCol w:w="1096"/>
      </w:tblGrid>
      <w:tr w14:paraId="57B01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87" w:type="dxa"/>
            <w:vMerge w:val="restart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 w14:paraId="73DEF89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Solvent</w:t>
            </w:r>
          </w:p>
        </w:tc>
        <w:tc>
          <w:tcPr>
            <w:tcW w:w="1870" w:type="dxa"/>
            <w:tcBorders>
              <w:top w:val="single" w:color="auto" w:sz="8" w:space="0"/>
            </w:tcBorders>
            <w:vAlign w:val="center"/>
          </w:tcPr>
          <w:p w14:paraId="4BF3E3FE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DTPF-ν-DABNA</w:t>
            </w:r>
          </w:p>
        </w:tc>
        <w:tc>
          <w:tcPr>
            <w:tcW w:w="1870" w:type="dxa"/>
            <w:tcBorders>
              <w:top w:val="single" w:color="auto" w:sz="8" w:space="0"/>
            </w:tcBorders>
          </w:tcPr>
          <w:p w14:paraId="667E5C0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single" w:color="auto" w:sz="8" w:space="0"/>
            </w:tcBorders>
            <w:vAlign w:val="center"/>
          </w:tcPr>
          <w:p w14:paraId="189CF001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DTP-ν-DABNA</w:t>
            </w:r>
          </w:p>
        </w:tc>
      </w:tr>
      <w:tr w14:paraId="52DE4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387" w:type="dxa"/>
            <w:vMerge w:val="continue"/>
            <w:tcBorders>
              <w:top w:val="single" w:color="auto" w:sz="8" w:space="0"/>
              <w:bottom w:val="single" w:color="auto" w:sz="8" w:space="0"/>
            </w:tcBorders>
          </w:tcPr>
          <w:p w14:paraId="19257B6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</w:tcPr>
          <w:p w14:paraId="4DFB0D4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de-DE"/>
              </w:rPr>
              <w:t>PL</w:t>
            </w:r>
          </w:p>
        </w:tc>
        <w:tc>
          <w:tcPr>
            <w:tcW w:w="1870" w:type="dxa"/>
          </w:tcPr>
          <w:p w14:paraId="3339633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FWHM</w:t>
            </w:r>
          </w:p>
        </w:tc>
        <w:tc>
          <w:tcPr>
            <w:tcW w:w="1247" w:type="dxa"/>
          </w:tcPr>
          <w:p w14:paraId="3BA00993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de-DE"/>
              </w:rPr>
              <w:t>PL</w:t>
            </w:r>
          </w:p>
        </w:tc>
        <w:tc>
          <w:tcPr>
            <w:tcW w:w="1095" w:type="dxa"/>
          </w:tcPr>
          <w:p w14:paraId="059C290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FWHM</w:t>
            </w:r>
          </w:p>
        </w:tc>
      </w:tr>
      <w:tr w14:paraId="65D07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2387" w:type="dxa"/>
            <w:vMerge w:val="continue"/>
            <w:tcBorders>
              <w:top w:val="single" w:color="auto" w:sz="8" w:space="0"/>
              <w:bottom w:val="single" w:color="auto" w:sz="8" w:space="0"/>
            </w:tcBorders>
          </w:tcPr>
          <w:p w14:paraId="3419A78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tcBorders>
              <w:bottom w:val="single" w:color="auto" w:sz="8" w:space="0"/>
            </w:tcBorders>
          </w:tcPr>
          <w:p w14:paraId="573C025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nm</w:t>
            </w:r>
          </w:p>
        </w:tc>
        <w:tc>
          <w:tcPr>
            <w:tcW w:w="1870" w:type="dxa"/>
            <w:tcBorders>
              <w:bottom w:val="single" w:color="auto" w:sz="8" w:space="0"/>
            </w:tcBorders>
          </w:tcPr>
          <w:p w14:paraId="343199F8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nm</w:t>
            </w:r>
          </w:p>
        </w:tc>
        <w:tc>
          <w:tcPr>
            <w:tcW w:w="1247" w:type="dxa"/>
            <w:tcBorders>
              <w:bottom w:val="single" w:color="auto" w:sz="8" w:space="0"/>
            </w:tcBorders>
          </w:tcPr>
          <w:p w14:paraId="6DEC8FF0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nm</w:t>
            </w:r>
          </w:p>
        </w:tc>
        <w:tc>
          <w:tcPr>
            <w:tcW w:w="1095" w:type="dxa"/>
            <w:tcBorders>
              <w:bottom w:val="single" w:color="auto" w:sz="8" w:space="0"/>
            </w:tcBorders>
          </w:tcPr>
          <w:p w14:paraId="275AEA04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nm</w:t>
            </w:r>
          </w:p>
        </w:tc>
      </w:tr>
      <w:tr w14:paraId="616BE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387" w:type="dxa"/>
            <w:tcBorders>
              <w:top w:val="single" w:color="auto" w:sz="8" w:space="0"/>
            </w:tcBorders>
          </w:tcPr>
          <w:p w14:paraId="087E57F1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n-Hexane</w:t>
            </w:r>
          </w:p>
        </w:tc>
        <w:tc>
          <w:tcPr>
            <w:tcW w:w="1870" w:type="dxa"/>
            <w:tcBorders>
              <w:top w:val="single" w:color="auto" w:sz="8" w:space="0"/>
            </w:tcBorders>
          </w:tcPr>
          <w:p w14:paraId="72005E8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870" w:type="dxa"/>
            <w:tcBorders>
              <w:top w:val="single" w:color="auto" w:sz="8" w:space="0"/>
            </w:tcBorders>
          </w:tcPr>
          <w:p w14:paraId="1337B17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7" w:type="dxa"/>
            <w:tcBorders>
              <w:top w:val="single" w:color="auto" w:sz="8" w:space="0"/>
            </w:tcBorders>
          </w:tcPr>
          <w:p w14:paraId="5AA1150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095" w:type="dxa"/>
            <w:tcBorders>
              <w:top w:val="single" w:color="auto" w:sz="8" w:space="0"/>
            </w:tcBorders>
          </w:tcPr>
          <w:p w14:paraId="70B16B3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14:paraId="213EE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87" w:type="dxa"/>
          </w:tcPr>
          <w:p w14:paraId="02F010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Toluene</w:t>
            </w:r>
          </w:p>
        </w:tc>
        <w:tc>
          <w:tcPr>
            <w:tcW w:w="1870" w:type="dxa"/>
          </w:tcPr>
          <w:p w14:paraId="4EB208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</w:t>
            </w:r>
          </w:p>
        </w:tc>
        <w:tc>
          <w:tcPr>
            <w:tcW w:w="1870" w:type="dxa"/>
          </w:tcPr>
          <w:p w14:paraId="1F1006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7" w:type="dxa"/>
          </w:tcPr>
          <w:p w14:paraId="44DE70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095" w:type="dxa"/>
          </w:tcPr>
          <w:p w14:paraId="248BC63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14:paraId="5BBA6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87" w:type="dxa"/>
          </w:tcPr>
          <w:p w14:paraId="057B46A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1,4-Dioxane</w:t>
            </w:r>
          </w:p>
        </w:tc>
        <w:tc>
          <w:tcPr>
            <w:tcW w:w="1870" w:type="dxa"/>
          </w:tcPr>
          <w:p w14:paraId="6552847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870" w:type="dxa"/>
          </w:tcPr>
          <w:p w14:paraId="29B045C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7" w:type="dxa"/>
          </w:tcPr>
          <w:p w14:paraId="6A71FC3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1095" w:type="dxa"/>
          </w:tcPr>
          <w:p w14:paraId="31E5E62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14:paraId="57853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2387" w:type="dxa"/>
          </w:tcPr>
          <w:p w14:paraId="1A2E47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Tetrahydrofuran</w:t>
            </w:r>
          </w:p>
        </w:tc>
        <w:tc>
          <w:tcPr>
            <w:tcW w:w="1870" w:type="dxa"/>
          </w:tcPr>
          <w:p w14:paraId="7C8CC22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</w:t>
            </w:r>
          </w:p>
        </w:tc>
        <w:tc>
          <w:tcPr>
            <w:tcW w:w="1870" w:type="dxa"/>
          </w:tcPr>
          <w:p w14:paraId="3F0114B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7" w:type="dxa"/>
          </w:tcPr>
          <w:p w14:paraId="278422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1095" w:type="dxa"/>
          </w:tcPr>
          <w:p w14:paraId="1330F0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14:paraId="6B629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87" w:type="dxa"/>
          </w:tcPr>
          <w:p w14:paraId="2CD8669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Trichloromethane</w:t>
            </w:r>
          </w:p>
        </w:tc>
        <w:tc>
          <w:tcPr>
            <w:tcW w:w="1870" w:type="dxa"/>
          </w:tcPr>
          <w:p w14:paraId="04E3E2F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</w:t>
            </w:r>
          </w:p>
        </w:tc>
        <w:tc>
          <w:tcPr>
            <w:tcW w:w="1870" w:type="dxa"/>
          </w:tcPr>
          <w:p w14:paraId="358684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7" w:type="dxa"/>
          </w:tcPr>
          <w:p w14:paraId="0492547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095" w:type="dxa"/>
          </w:tcPr>
          <w:p w14:paraId="7CBFF68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14:paraId="4B2D3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2387" w:type="dxa"/>
          </w:tcPr>
          <w:p w14:paraId="40B31CD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44144678"/>
            <w:r>
              <w:rPr>
                <w:rFonts w:ascii="Times New Roman" w:hAnsi="Times New Roman" w:cs="Times New Roman"/>
                <w:sz w:val="24"/>
                <w:szCs w:val="24"/>
              </w:rPr>
              <w:t>Dichloromethane</w:t>
            </w:r>
            <w:bookmarkEnd w:id="0"/>
          </w:p>
        </w:tc>
        <w:tc>
          <w:tcPr>
            <w:tcW w:w="1870" w:type="dxa"/>
          </w:tcPr>
          <w:p w14:paraId="32658BE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870" w:type="dxa"/>
          </w:tcPr>
          <w:p w14:paraId="7CB571D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7" w:type="dxa"/>
          </w:tcPr>
          <w:p w14:paraId="57DE0DA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  <w:tc>
          <w:tcPr>
            <w:tcW w:w="1095" w:type="dxa"/>
          </w:tcPr>
          <w:p w14:paraId="7CBF1FA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14:paraId="518CF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387" w:type="dxa"/>
            <w:tcBorders>
              <w:bottom w:val="single" w:color="auto" w:sz="8" w:space="0"/>
            </w:tcBorders>
          </w:tcPr>
          <w:p w14:paraId="2126763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4144686"/>
            <w:r>
              <w:rPr>
                <w:rFonts w:ascii="Times New Roman" w:hAnsi="Times New Roman" w:cs="Times New Roman"/>
                <w:sz w:val="24"/>
                <w:szCs w:val="24"/>
              </w:rPr>
              <w:t>N,N-Dimethylformamide</w:t>
            </w:r>
            <w:bookmarkEnd w:id="1"/>
          </w:p>
        </w:tc>
        <w:tc>
          <w:tcPr>
            <w:tcW w:w="1870" w:type="dxa"/>
            <w:tcBorders>
              <w:bottom w:val="single" w:color="auto" w:sz="8" w:space="0"/>
            </w:tcBorders>
          </w:tcPr>
          <w:p w14:paraId="5B92961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</w:t>
            </w:r>
          </w:p>
        </w:tc>
        <w:tc>
          <w:tcPr>
            <w:tcW w:w="1870" w:type="dxa"/>
            <w:tcBorders>
              <w:bottom w:val="single" w:color="auto" w:sz="8" w:space="0"/>
            </w:tcBorders>
          </w:tcPr>
          <w:p w14:paraId="2194D65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7" w:type="dxa"/>
            <w:tcBorders>
              <w:bottom w:val="single" w:color="auto" w:sz="8" w:space="0"/>
            </w:tcBorders>
          </w:tcPr>
          <w:p w14:paraId="65EF5CE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</w:p>
        </w:tc>
        <w:tc>
          <w:tcPr>
            <w:tcW w:w="1095" w:type="dxa"/>
            <w:tcBorders>
              <w:bottom w:val="single" w:color="auto" w:sz="8" w:space="0"/>
            </w:tcBorders>
          </w:tcPr>
          <w:p w14:paraId="2ACB3A6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14:paraId="3B54678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759F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S3.</w:t>
      </w:r>
      <w:r>
        <w:rPr>
          <w:rFonts w:ascii="Times New Roman" w:hAnsi="Times New Roman" w:cs="Times New Roman"/>
          <w:sz w:val="24"/>
          <w:szCs w:val="24"/>
        </w:rPr>
        <w:t xml:space="preserve"> Photophysical properties DTP-ν-DABNA and DTPF-ν-DABNA in doped PPF films (2 wt%)</w:t>
      </w:r>
    </w:p>
    <w:tbl>
      <w:tblPr>
        <w:tblStyle w:val="2"/>
        <w:tblW w:w="8708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47"/>
        <w:gridCol w:w="1045"/>
        <w:gridCol w:w="1165"/>
        <w:gridCol w:w="726"/>
        <w:gridCol w:w="827"/>
        <w:gridCol w:w="827"/>
        <w:gridCol w:w="719"/>
        <w:gridCol w:w="833"/>
        <w:gridCol w:w="719"/>
      </w:tblGrid>
      <w:tr w14:paraId="048AB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5B63891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64439266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Compound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1490241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de-DE"/>
              </w:rPr>
              <w:t>PF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az-Cyrl-AZ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de-DE"/>
              </w:rPr>
              <w:t>DF</w:t>
            </w:r>
          </w:p>
          <w:p w14:paraId="78C6025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%/%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5F5497F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PF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DF</w:t>
            </w:r>
          </w:p>
          <w:p w14:paraId="4B57198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ns/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726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B235C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PF</w:t>
            </w:r>
          </w:p>
          <w:p w14:paraId="7A08800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33244CD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DF</w:t>
            </w:r>
          </w:p>
          <w:p w14:paraId="12A45B6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46523D1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</w:t>
            </w:r>
          </w:p>
          <w:p w14:paraId="5BFEF65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E71E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ISC</w:t>
            </w:r>
          </w:p>
          <w:p w14:paraId="79A396A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13D6B32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RISC</w:t>
            </w:r>
          </w:p>
          <w:p w14:paraId="2EA37AA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5BEF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nr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S</w:t>
            </w:r>
          </w:p>
          <w:p w14:paraId="019D246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×10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-1</w:t>
            </w:r>
          </w:p>
        </w:tc>
      </w:tr>
      <w:tr w14:paraId="4B36F2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0" w:type="auto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59F2345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DTPF-ν-DABNA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3BCE4D3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67.4/31.8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7474751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3.40/11.66</w:t>
            </w:r>
          </w:p>
        </w:tc>
        <w:tc>
          <w:tcPr>
            <w:tcW w:w="726" w:type="dxa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DE6B4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2.94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3A4842F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8.58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013D9A5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1.98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57575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38BFA7D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1.26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96974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1.60</w:t>
            </w:r>
          </w:p>
        </w:tc>
      </w:tr>
      <w:tr w14:paraId="676EE6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" w:hRule="atLeast"/>
        </w:trPr>
        <w:tc>
          <w:tcPr>
            <w:tcW w:w="0" w:type="auto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160626C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DTP-ν-DABNA</w:t>
            </w:r>
          </w:p>
        </w:tc>
        <w:tc>
          <w:tcPr>
            <w:tcW w:w="0" w:type="auto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0509C36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53.4/42.1</w:t>
            </w:r>
          </w:p>
        </w:tc>
        <w:tc>
          <w:tcPr>
            <w:tcW w:w="0" w:type="auto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6299577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2.98/13.15</w:t>
            </w:r>
          </w:p>
        </w:tc>
        <w:tc>
          <w:tcPr>
            <w:tcW w:w="726" w:type="dxa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CB03E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3.36</w:t>
            </w:r>
          </w:p>
        </w:tc>
        <w:tc>
          <w:tcPr>
            <w:tcW w:w="0" w:type="auto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74C20FB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7.60</w:t>
            </w:r>
          </w:p>
        </w:tc>
        <w:tc>
          <w:tcPr>
            <w:tcW w:w="0" w:type="auto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53E1CD7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1.79</w:t>
            </w:r>
          </w:p>
        </w:tc>
        <w:tc>
          <w:tcPr>
            <w:tcW w:w="0" w:type="auto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948DA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0" w:type="auto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160BDCD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1.36</w:t>
            </w:r>
          </w:p>
        </w:tc>
        <w:tc>
          <w:tcPr>
            <w:tcW w:w="0" w:type="auto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430B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8.44</w:t>
            </w:r>
          </w:p>
        </w:tc>
      </w:tr>
      <w:tr w14:paraId="41BB3A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" w:hRule="atLeast"/>
        </w:trPr>
        <w:tc>
          <w:tcPr>
            <w:tcW w:w="8708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35" w:type="dxa"/>
              <w:left w:w="69" w:type="dxa"/>
              <w:bottom w:w="35" w:type="dxa"/>
              <w:right w:w="69" w:type="dxa"/>
            </w:tcMar>
            <w:vAlign w:val="center"/>
          </w:tcPr>
          <w:p w14:paraId="249D0BC1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In this work, the doped films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DTP-ν-DABNA and DTPF-ν-DABNA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do not exhibit phosphorescence emission at 300 K. In other words, the efficiency of phosphorescence is zero (Ф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Phos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= 0). Thus, the quantum efficiency of delayed emission (Ф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DE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 is equal to the efficiency of delayed fluorescence (Ф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DF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). Thus, the quantum efficiencies of prompt (Ф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PF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 and delayed emission (Ф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DF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 are evaluated by the corrected estimation method and the rate constants were calculated according to the reported method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[42]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bookmarkStart w:id="5" w:name="_GoBack"/>
            <w:bookmarkEnd w:id="5"/>
          </w:p>
          <w:p w14:paraId="37D8AACE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PF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τ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PF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den>
                </m:f>
              </m:oMath>
            </m:oMathPara>
          </w:p>
          <w:p w14:paraId="0E1D637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DF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1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τ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DF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den>
                </m:f>
              </m:oMath>
            </m:oMathPara>
          </w:p>
          <w:p w14:paraId="187CF89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Sup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r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S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bSup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PF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Φ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PF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</m:oMath>
            </m:oMathPara>
          </w:p>
          <w:p w14:paraId="0D5A5D9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Sup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nr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S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bSup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PF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Φ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PF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Φ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all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den>
                </m:f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(1−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Φ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all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)</m:t>
                </m:r>
              </m:oMath>
            </m:oMathPara>
          </w:p>
          <w:p w14:paraId="5EC5AA1F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ISC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PF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Φ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DF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Φ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all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den>
                </m:f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−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DF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Φ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DF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Φ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PF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den>
                </m:f>
              </m:oMath>
            </m:oMathPara>
          </w:p>
          <w:p w14:paraId="601C448C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RISC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DF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</m:sSub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Φ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all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SubPr>
                      <m:e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Φ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e>
                      <m:sub>
                        <m:r>
                          <m:rPr/>
                          <w:rPr>
                            <w:rFonts w:ascii="Cambria Math" w:hAnsi="Cambria Math" w:cs="Times New Roman"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m:t>PF</m:t>
                        </m: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z w:val="24"/>
                            <w:szCs w:val="24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m:ctrlPr>
                      </m:sub>
                    </m:sSub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den>
                </m:f>
              </m:oMath>
            </m:oMathPara>
          </w:p>
          <w:p w14:paraId="377E8E2B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SubSupPr>
                  <m:e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k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nr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b>
                  <m:sup>
                    <m:r>
                      <m:rPr/>
                      <w:rPr>
                        <w:rFonts w:ascii="Cambria Math" w:hAnsi="Cambria Math" w:cs="Times New Roman"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  <m:t>T</m:t>
                    </m: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4"/>
                        <w:szCs w:val="24"/>
                        <w14:textFill>
                          <w14:solidFill>
                            <w14:schemeClr w14:val="tx1"/>
                          </w14:solidFill>
                        </w14:textFill>
                      </w:rPr>
                    </m:ctrlPr>
                  </m:sup>
                </m:sSubSup>
                <m:r>
                  <m:rPr/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  <w14:textFill>
                      <w14:solidFill>
                        <w14:schemeClr w14:val="tx1"/>
                      </w14:solidFill>
                    </w14:textFill>
                  </w:rPr>
                  <m:t>=0</m:t>
                </m:r>
              </m:oMath>
            </m:oMathPara>
          </w:p>
          <w:p w14:paraId="0D20E343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where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PF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and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DF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are the radiative decay rate for prompt and delayed fluorescence, respectively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az-Cyrl-AZ"/>
                <w14:textFill>
                  <w14:solidFill>
                    <w14:schemeClr w14:val="tx1"/>
                  </w14:solidFill>
                </w14:textFill>
              </w:rPr>
              <w:t>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:lang w:val="az-Cyrl-AZ"/>
                <w14:textFill>
                  <w14:solidFill>
                    <w14:schemeClr w14:val="tx1"/>
                  </w14:solidFill>
                </w14:textFill>
              </w:rPr>
              <w:t>all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az-Cyrl-AZ"/>
                <w14:textFill>
                  <w14:solidFill>
                    <w14:schemeClr w14:val="tx1"/>
                  </w14:solidFill>
                </w14:textFill>
              </w:rPr>
              <w:t xml:space="preserve"> is the total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photoluminescence quantum efficiency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and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nr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are the radiative and nonradiative decay rate constants from a singlet excited state, respectively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ISC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and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RISC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are the intersystem crossing and reverse intersystem crossing rate constants,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respectively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nr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is the nonradiative decay rate constant from a triplet excited state.</w:t>
            </w:r>
          </w:p>
        </w:tc>
      </w:tr>
      <w:bookmarkEnd w:id="2"/>
    </w:tbl>
    <w:p w14:paraId="2269614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4739837"/>
      <w:r>
        <w:rPr>
          <w:rFonts w:ascii="Times New Roman" w:hAnsi="Times New Roman" w:cs="Times New Roman"/>
          <w:b/>
          <w:bCs/>
          <w:sz w:val="24"/>
          <w:szCs w:val="24"/>
        </w:rPr>
        <w:t>Table S4.</w:t>
      </w:r>
      <w:r>
        <w:rPr>
          <w:rFonts w:ascii="Times New Roman" w:hAnsi="Times New Roman" w:cs="Times New Roman"/>
          <w:sz w:val="24"/>
          <w:szCs w:val="24"/>
        </w:rPr>
        <w:t xml:space="preserve"> Summary of OLED device performance utilizing </w:t>
      </w:r>
      <w:r>
        <w:rPr>
          <w:rFonts w:ascii="Times New Roman" w:hAnsi="Times New Roman" w:cs="Times New Roman"/>
          <w:b/>
          <w:bCs/>
          <w:sz w:val="24"/>
          <w:szCs w:val="24"/>
        </w:rPr>
        <w:t>ν-DABNA</w:t>
      </w:r>
      <w:r>
        <w:rPr>
          <w:rFonts w:ascii="Times New Roman" w:hAnsi="Times New Roman" w:cs="Times New Roman"/>
          <w:sz w:val="24"/>
          <w:szCs w:val="24"/>
        </w:rPr>
        <w:t>, DTPF-</w:t>
      </w:r>
      <w:r>
        <w:rPr>
          <w:rFonts w:ascii="Times New Roman" w:hAnsi="Times New Roman" w:cs="Times New Roman"/>
          <w:sz w:val="24"/>
          <w:szCs w:val="24"/>
          <w:lang w:val="el-GR"/>
        </w:rPr>
        <w:t>ν</w:t>
      </w:r>
      <w:r>
        <w:rPr>
          <w:rFonts w:ascii="Times New Roman" w:hAnsi="Times New Roman" w:cs="Times New Roman"/>
          <w:sz w:val="24"/>
          <w:szCs w:val="24"/>
        </w:rPr>
        <w:t>-DABNA and DTP-</w:t>
      </w:r>
      <w:r>
        <w:rPr>
          <w:rFonts w:ascii="Times New Roman" w:hAnsi="Times New Roman" w:cs="Times New Roman"/>
          <w:sz w:val="24"/>
          <w:szCs w:val="24"/>
          <w:lang w:val="el-GR"/>
        </w:rPr>
        <w:t>ν</w:t>
      </w:r>
      <w:r>
        <w:rPr>
          <w:rFonts w:ascii="Times New Roman" w:hAnsi="Times New Roman" w:cs="Times New Roman"/>
          <w:sz w:val="24"/>
          <w:szCs w:val="24"/>
        </w:rPr>
        <w:t>-DABNA</w:t>
      </w:r>
    </w:p>
    <w:tbl>
      <w:tblPr>
        <w:tblStyle w:val="2"/>
        <w:tblW w:w="832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2"/>
        <w:gridCol w:w="992"/>
        <w:gridCol w:w="1701"/>
        <w:gridCol w:w="1843"/>
        <w:gridCol w:w="1935"/>
      </w:tblGrid>
      <w:tr w14:paraId="2C8A57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852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C62B2D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Dopant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3284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x</w:t>
            </w:r>
          </w:p>
          <w:p w14:paraId="4CDCF7D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l-GR"/>
              </w:rPr>
              <w:t>(wt%)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D015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CE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de-DE"/>
              </w:rPr>
              <w:t>max/10/100/1000</w:t>
            </w:r>
          </w:p>
          <w:p w14:paraId="77C8772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(cd A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de-DE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)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1427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PE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de-DE"/>
              </w:rPr>
              <w:t xml:space="preserve"> max/10/100/1000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de-DE"/>
              </w:rPr>
              <w:t xml:space="preserve"> </w:t>
            </w:r>
          </w:p>
          <w:p w14:paraId="3FAF4A1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(lm W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de-DE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)</w:t>
            </w:r>
          </w:p>
        </w:tc>
        <w:tc>
          <w:tcPr>
            <w:tcW w:w="1935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B90D3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EQE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  <w:lang w:val="de-DE"/>
              </w:rPr>
              <w:t xml:space="preserve"> max/10/100/1000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val="de-DE"/>
              </w:rPr>
              <w:t xml:space="preserve"> </w:t>
            </w:r>
          </w:p>
          <w:p w14:paraId="503C18A5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%)</w:t>
            </w:r>
          </w:p>
        </w:tc>
      </w:tr>
      <w:tr w14:paraId="09DBC7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852" w:type="dxa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58D48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ν-DABNA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D4D4E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EB6727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31.0/-/29.5/23.2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1176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25.6/-/20.8/11.7</w:t>
            </w:r>
          </w:p>
        </w:tc>
        <w:tc>
          <w:tcPr>
            <w:tcW w:w="1935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4B111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34.4/-/32.8/26.0</w:t>
            </w:r>
          </w:p>
        </w:tc>
      </w:tr>
      <w:tr w14:paraId="25925F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852" w:type="dxa"/>
            <w:vMerge w:val="restart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86DD6E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DTPF-ν-DABNA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E9B2A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77ADE0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40.0/33.7/22.8/7.8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631DC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40.5/33.1/19.3/4.4</w:t>
            </w:r>
          </w:p>
        </w:tc>
        <w:tc>
          <w:tcPr>
            <w:tcW w:w="1935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C38356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36.0/28.9/18.5/6.3</w:t>
            </w:r>
          </w:p>
        </w:tc>
      </w:tr>
      <w:tr w14:paraId="221126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852" w:type="dxa"/>
            <w:vMerge w:val="continue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73C6FE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A6033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577D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40.0/33.7/21.3/6.6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37BC6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40.4/32.8/17.8/3.4</w:t>
            </w:r>
          </w:p>
        </w:tc>
        <w:tc>
          <w:tcPr>
            <w:tcW w:w="193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9040C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34.2/27.3/18.2/5.7</w:t>
            </w:r>
          </w:p>
        </w:tc>
      </w:tr>
      <w:tr w14:paraId="005960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852" w:type="dxa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009B0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94BE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1419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30.0/27.3/18.6/5.9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6D4C6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30.4/26.5/15.6/3.0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19583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24.6/21.2/14.6/4.6</w:t>
            </w:r>
          </w:p>
        </w:tc>
      </w:tr>
      <w:tr w14:paraId="6FE4B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852" w:type="dxa"/>
            <w:vMerge w:val="restart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CECBF8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DTP-ν-DABNA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73DCEF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F9E01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50.0/44.7/34.8/16.2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D7CC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50.0/43.2/28.8/9.9</w:t>
            </w:r>
          </w:p>
        </w:tc>
        <w:tc>
          <w:tcPr>
            <w:tcW w:w="1935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F7E3A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31.5/27.0/20.9/9.1</w:t>
            </w:r>
          </w:p>
        </w:tc>
      </w:tr>
      <w:tr w14:paraId="4622F3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852" w:type="dxa"/>
            <w:vMerge w:val="continue"/>
            <w:tcBorders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5F27A6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0E54B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E94DDB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44.9/44.2/33.7/14.5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5C9BB4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43.7/42.9/28.2/8.5</w:t>
            </w:r>
          </w:p>
        </w:tc>
        <w:tc>
          <w:tcPr>
            <w:tcW w:w="1935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CE3DBB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25.6/25.1/19.1/8.7</w:t>
            </w:r>
          </w:p>
        </w:tc>
      </w:tr>
      <w:tr w14:paraId="3E64F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1852" w:type="dxa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E9CA12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9F92B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8BE49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40.0/34.6/28.6/13.5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08E44A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40.8/33.8/24.1/8.0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2AC8C6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22.7/18.8/15.4/7.4</w:t>
            </w:r>
          </w:p>
        </w:tc>
      </w:tr>
    </w:tbl>
    <w:p w14:paraId="4286ED3A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Values of current efficiency (CE), power efficiency (PE), and external quantum efficiency (EQE) at the maximum, 10/100/1000 cd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-2</w:t>
      </w:r>
    </w:p>
    <w:p w14:paraId="28D7C35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7A2D09A7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8336523"/>
      <w:r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bookmarkEnd w:id="3"/>
      <w:r>
        <w:rPr>
          <w:rFonts w:ascii="Times New Roman" w:hAnsi="Times New Roman" w:cs="Times New Roman"/>
          <w:b/>
          <w:bCs/>
          <w:sz w:val="24"/>
          <w:szCs w:val="24"/>
        </w:rPr>
        <w:t>S5</w:t>
      </w:r>
      <w:r>
        <w:rPr>
          <w:rFonts w:ascii="Times New Roman" w:hAnsi="Times New Roman" w:cs="Times New Roman"/>
          <w:sz w:val="24"/>
          <w:szCs w:val="24"/>
        </w:rPr>
        <w:t xml:space="preserve"> Summary of reported diboron blue MR-TADF emitters with high efficiency (EQE</w:t>
      </w:r>
      <w:r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r>
        <w:rPr>
          <w:rFonts w:ascii="Times New Roman" w:hAnsi="Times New Roman" w:cs="Times New Roman"/>
          <w:sz w:val="24"/>
          <w:szCs w:val="24"/>
        </w:rPr>
        <w:t xml:space="preserve"> &gt; 30%).</w:t>
      </w:r>
    </w:p>
    <w:tbl>
      <w:tblPr>
        <w:tblStyle w:val="6"/>
        <w:tblW w:w="8320" w:type="dxa"/>
        <w:jc w:val="center"/>
        <w:tblBorders>
          <w:top w:val="single" w:color="7E7E7E" w:themeColor="text1" w:themeTint="80" w:sz="4" w:space="0"/>
          <w:left w:val="none" w:color="auto" w:sz="0" w:space="0"/>
          <w:bottom w:val="single" w:color="7E7E7E" w:themeColor="text1" w:themeTint="80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70" w:type="dxa"/>
          <w:bottom w:w="0" w:type="dxa"/>
          <w:right w:w="170" w:type="dxa"/>
        </w:tblCellMar>
      </w:tblPr>
      <w:tblGrid>
        <w:gridCol w:w="2229"/>
        <w:gridCol w:w="798"/>
        <w:gridCol w:w="1081"/>
        <w:gridCol w:w="1073"/>
        <w:gridCol w:w="1314"/>
        <w:gridCol w:w="2151"/>
      </w:tblGrid>
      <w:tr w14:paraId="4AC38059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398" w:hRule="atLeast"/>
          <w:jc w:val="center"/>
        </w:trPr>
        <w:tc>
          <w:tcPr>
            <w:tcW w:w="1454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CD844E7">
            <w:pPr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  <w:t>E</w:t>
            </w: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mitters</w:t>
            </w:r>
          </w:p>
        </w:tc>
        <w:tc>
          <w:tcPr>
            <w:tcW w:w="772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FD827B5">
            <w:pPr>
              <w:spacing w:after="0" w:line="360" w:lineRule="auto"/>
              <w:jc w:val="both"/>
              <w:rPr>
                <w:rFonts w:ascii="Times New Roman" w:hAnsi="Times New Roman" w:eastAsia="等线" w:cs="Times New Roman"/>
                <w:b/>
                <w:bCs/>
                <w:i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等线" w:cs="Times New Roman"/>
                <w:b/>
                <w:bCs/>
                <w:iCs/>
                <w:kern w:val="2"/>
                <w:sz w:val="24"/>
                <w:szCs w:val="24"/>
                <w14:ligatures w14:val="standardContextual"/>
              </w:rPr>
              <w:t>λ</w:t>
            </w:r>
            <w:r>
              <w:rPr>
                <w:rFonts w:ascii="Times New Roman" w:hAnsi="Times New Roman" w:eastAsia="等线" w:cs="Times New Roman"/>
                <w:b/>
                <w:bCs/>
                <w:iCs/>
                <w:kern w:val="2"/>
                <w:sz w:val="24"/>
                <w:szCs w:val="24"/>
                <w:vertAlign w:val="subscript"/>
                <w14:ligatures w14:val="standardContextual"/>
              </w:rPr>
              <w:t>EL</w:t>
            </w:r>
            <w:r>
              <w:rPr>
                <w:rFonts w:ascii="Times New Roman" w:hAnsi="Times New Roman" w:eastAsia="等线" w:cs="Times New Roman"/>
                <w:b w:val="0"/>
                <w:bCs w:val="0"/>
                <w:iCs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  <w:p w14:paraId="22784A22">
            <w:pPr>
              <w:spacing w:after="0" w:line="360" w:lineRule="auto"/>
              <w:jc w:val="both"/>
              <w:rPr>
                <w:rFonts w:ascii="Times New Roman" w:hAnsi="Times New Roman" w:eastAsia="等线" w:cs="Times New Roman"/>
                <w:b w:val="0"/>
                <w:bCs w:val="0"/>
                <w:i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等线" w:cs="Times New Roman"/>
                <w:b/>
                <w:bCs/>
                <w:iCs/>
                <w:kern w:val="2"/>
                <w:sz w:val="24"/>
                <w:szCs w:val="24"/>
                <w14:ligatures w14:val="standardContextual"/>
              </w:rPr>
              <w:t>(nm)</w:t>
            </w:r>
          </w:p>
        </w:tc>
        <w:tc>
          <w:tcPr>
            <w:tcW w:w="104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7BC0CC18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  <w:t>FWHM</w:t>
            </w: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 xml:space="preserve"> (</w:t>
            </w:r>
            <w:r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  <w:t>nm</w:t>
            </w: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)</w:t>
            </w:r>
          </w:p>
        </w:tc>
        <w:tc>
          <w:tcPr>
            <w:tcW w:w="1041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E62BB71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subscript"/>
                <w14:ligatures w14:val="standardContextual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  <w:t>EQE</w:t>
            </w: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subscript"/>
                <w14:ligatures w14:val="standardContextual"/>
              </w:rPr>
              <w:t>max</w:t>
            </w: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vertAlign w:val="subscript"/>
                <w14:ligatures w14:val="standardContextual"/>
              </w:rPr>
              <w:t xml:space="preserve"> </w:t>
            </w:r>
          </w:p>
          <w:p w14:paraId="1CBDA828">
            <w:pPr>
              <w:spacing w:after="0" w:line="360" w:lineRule="auto"/>
              <w:jc w:val="both"/>
              <w:rPr>
                <w:rFonts w:ascii="Times New Roman" w:hAnsi="Times New Roman" w:eastAsia="MS Mincho" w:cs="Times New Roman"/>
                <w:b w:val="0"/>
                <w:bCs w:val="0"/>
                <w:kern w:val="2"/>
                <w:sz w:val="24"/>
                <w:szCs w:val="24"/>
                <w:vertAlign w:val="subscript"/>
                <w:lang w:eastAsia="ja-JP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2"/>
                <w:sz w:val="24"/>
                <w:szCs w:val="24"/>
                <w14:ligatures w14:val="standardContextual"/>
              </w:rPr>
              <w:t>(%)</w:t>
            </w:r>
          </w:p>
        </w:tc>
        <w:tc>
          <w:tcPr>
            <w:tcW w:w="137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32E8D2A9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  <w:t xml:space="preserve">CIE </w:t>
            </w:r>
          </w:p>
          <w:p w14:paraId="28E665DA">
            <w:pPr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  <w:t>(x, y)</w:t>
            </w:r>
          </w:p>
        </w:tc>
        <w:tc>
          <w:tcPr>
            <w:tcW w:w="264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9DE2879">
            <w:pPr>
              <w:spacing w:after="0" w:line="360" w:lineRule="auto"/>
              <w:jc w:val="both"/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</w:pPr>
            <w:r>
              <w:rPr>
                <w:rFonts w:ascii="Times New Roman" w:hAnsi="Times New Roman" w:eastAsia="MS Mincho" w:cs="Times New Roman"/>
                <w:b/>
                <w:bCs/>
                <w:kern w:val="2"/>
                <w:sz w:val="24"/>
                <w:szCs w:val="24"/>
                <w:lang w:eastAsia="ja-JP"/>
                <w14:ligatures w14:val="standardContextual"/>
              </w:rPr>
              <w:t>Ref.</w:t>
            </w:r>
          </w:p>
        </w:tc>
      </w:tr>
      <w:tr w14:paraId="66D4DEAD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single" w:color="auto" w:sz="6" w:space="0"/>
              <w:bottom w:val="nil"/>
            </w:tcBorders>
            <w:vAlign w:val="center"/>
          </w:tcPr>
          <w:p w14:paraId="491FC0BB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FF0000"/>
                <w:kern w:val="2"/>
                <w:sz w:val="24"/>
                <w:szCs w:val="24"/>
                <w14:ligatures w14:val="standardContextual"/>
              </w:rPr>
              <w:t>DTPF-ν-DABNA</w:t>
            </w:r>
          </w:p>
        </w:tc>
        <w:tc>
          <w:tcPr>
            <w:tcW w:w="772" w:type="dxa"/>
            <w:tcBorders>
              <w:top w:val="single" w:color="auto" w:sz="6" w:space="0"/>
              <w:bottom w:val="nil"/>
            </w:tcBorders>
            <w:vAlign w:val="center"/>
          </w:tcPr>
          <w:p w14:paraId="62319D13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480</w:t>
            </w:r>
          </w:p>
        </w:tc>
        <w:tc>
          <w:tcPr>
            <w:tcW w:w="1040" w:type="dxa"/>
            <w:tcBorders>
              <w:top w:val="single" w:color="auto" w:sz="6" w:space="0"/>
              <w:bottom w:val="nil"/>
            </w:tcBorders>
            <w:vAlign w:val="center"/>
          </w:tcPr>
          <w:p w14:paraId="2463C542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21</w:t>
            </w:r>
          </w:p>
        </w:tc>
        <w:tc>
          <w:tcPr>
            <w:tcW w:w="1041" w:type="dxa"/>
            <w:tcBorders>
              <w:top w:val="single" w:color="auto" w:sz="6" w:space="0"/>
              <w:bottom w:val="nil"/>
            </w:tcBorders>
            <w:vAlign w:val="center"/>
          </w:tcPr>
          <w:p w14:paraId="22934946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36.0</w:t>
            </w:r>
          </w:p>
        </w:tc>
        <w:tc>
          <w:tcPr>
            <w:tcW w:w="1370" w:type="dxa"/>
            <w:tcBorders>
              <w:top w:val="single" w:color="auto" w:sz="6" w:space="0"/>
              <w:bottom w:val="nil"/>
            </w:tcBorders>
            <w:vAlign w:val="center"/>
          </w:tcPr>
          <w:p w14:paraId="076EC32C">
            <w:pPr>
              <w:spacing w:after="0" w:line="360" w:lineRule="auto"/>
              <w:jc w:val="both"/>
              <w:rPr>
                <w:rFonts w:ascii="Times New Roman" w:hAnsi="Times New Roman" w:eastAsia="MS Mincho" w:cs="Times New Roman"/>
                <w:color w:val="FF0000"/>
                <w:kern w:val="2"/>
                <w:sz w:val="24"/>
                <w:szCs w:val="24"/>
                <w:lang w:eastAsia="ja-JP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(0.09, 0.22)</w:t>
            </w:r>
          </w:p>
        </w:tc>
        <w:tc>
          <w:tcPr>
            <w:tcW w:w="2643" w:type="dxa"/>
            <w:vMerge w:val="restart"/>
            <w:tcBorders>
              <w:top w:val="single" w:color="auto" w:sz="6" w:space="0"/>
              <w:bottom w:val="single" w:color="7E7E7E" w:themeColor="text1" w:themeTint="80" w:sz="4" w:space="0"/>
            </w:tcBorders>
            <w:vAlign w:val="center"/>
          </w:tcPr>
          <w:p w14:paraId="3F422010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This work</w:t>
            </w:r>
          </w:p>
        </w:tc>
      </w:tr>
      <w:tr w14:paraId="3D1F471B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0F6F7D06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color w:val="FF0000"/>
                <w:kern w:val="2"/>
                <w:sz w:val="24"/>
                <w:szCs w:val="24"/>
                <w14:ligatures w14:val="standardContextual"/>
              </w:rPr>
              <w:t>DTP-ν-DABNA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431C116B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492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26D4FF3A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22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5450273D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31.5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21FE40D4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color w:val="FF0000"/>
                <w:kern w:val="2"/>
                <w:sz w:val="24"/>
                <w:szCs w:val="24"/>
                <w14:ligatures w14:val="standardContextual"/>
              </w:rPr>
              <w:t>(0.07, 0.38)</w:t>
            </w:r>
          </w:p>
        </w:tc>
        <w:tc>
          <w:tcPr>
            <w:tcW w:w="2643" w:type="dxa"/>
            <w:vMerge w:val="continue"/>
            <w:tcBorders>
              <w:bottom w:val="nil"/>
            </w:tcBorders>
            <w:vAlign w:val="center"/>
          </w:tcPr>
          <w:p w14:paraId="3209CD8C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14:paraId="4785806E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73F7A914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CFDBCz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7F1E4F09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488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48CB0654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22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2FBE9A4F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32.4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3E32A1B7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(0.12, 0.43)</w:t>
            </w:r>
          </w:p>
        </w:tc>
        <w:tc>
          <w:tcPr>
            <w:tcW w:w="2643" w:type="dxa"/>
            <w:tcBorders>
              <w:top w:val="nil"/>
              <w:bottom w:val="nil"/>
            </w:tcBorders>
            <w:vAlign w:val="center"/>
          </w:tcPr>
          <w:p w14:paraId="3772BB3A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Adv. Opt. Mater. 2024, 12(15):2302987.</w:t>
            </w:r>
          </w:p>
        </w:tc>
      </w:tr>
      <w:tr w14:paraId="3055EFD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679CC610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ν-DABNA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0467464F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469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0900E6CC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18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02A2C607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34.4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3993AA93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(0.12, 0.11)</w:t>
            </w:r>
          </w:p>
        </w:tc>
        <w:tc>
          <w:tcPr>
            <w:tcW w:w="2643" w:type="dxa"/>
            <w:tcBorders>
              <w:top w:val="nil"/>
              <w:bottom w:val="nil"/>
            </w:tcBorders>
            <w:vAlign w:val="center"/>
          </w:tcPr>
          <w:p w14:paraId="71038D70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Nat. Photon. 2019, 13(10):678-682.</w:t>
            </w:r>
          </w:p>
        </w:tc>
      </w:tr>
      <w:tr w14:paraId="27D1FDA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6BDE98AA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NO-DBMR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5593AD3D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469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1D69E430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26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0263D5EA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33.7%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4B1228A1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(0.12, 0.12)</w:t>
            </w:r>
          </w:p>
        </w:tc>
        <w:tc>
          <w:tcPr>
            <w:tcW w:w="2643" w:type="dxa"/>
            <w:tcBorders>
              <w:top w:val="nil"/>
              <w:bottom w:val="nil"/>
            </w:tcBorders>
            <w:vAlign w:val="center"/>
          </w:tcPr>
          <w:p w14:paraId="12AD924B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iCs/>
                <w:kern w:val="2"/>
                <w:sz w:val="24"/>
                <w:szCs w:val="24"/>
                <w:lang w:val="de-DE"/>
                <w14:ligatures w14:val="standardContextual"/>
              </w:rPr>
              <w:t>Angewandte Chemie International Edition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de-DE"/>
                <w14:ligatures w14:val="standardContextual"/>
              </w:rPr>
              <w:t>. 2023, 62(32):e202306768.</w:t>
            </w:r>
          </w:p>
        </w:tc>
      </w:tr>
      <w:tr w14:paraId="576C2D9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3DFC77D6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Π-CzBN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198E1EDE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494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7C42E11E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21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2CC33E20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37.4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59331FA0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(0.08, 0.45)</w:t>
            </w:r>
          </w:p>
        </w:tc>
        <w:tc>
          <w:tcPr>
            <w:tcW w:w="2643" w:type="dxa"/>
            <w:tcBorders>
              <w:top w:val="nil"/>
              <w:bottom w:val="nil"/>
            </w:tcBorders>
            <w:vAlign w:val="center"/>
          </w:tcPr>
          <w:p w14:paraId="19511A57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iCs/>
                <w:kern w:val="2"/>
                <w:sz w:val="24"/>
                <w:szCs w:val="24"/>
                <w:lang w:val="de-DE"/>
                <w14:ligatures w14:val="standardContextual"/>
              </w:rPr>
              <w:t>Angewandte Chemie International Edition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de-DE"/>
                <w14:ligatures w14:val="standardContextual"/>
              </w:rPr>
              <w:t>. 2023, 62(32):e202306413.</w:t>
            </w:r>
          </w:p>
        </w:tc>
      </w:tr>
      <w:tr w14:paraId="793EDA08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6C1D8CE3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DTBA-B2N3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44B2BF8D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475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186B4B08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28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672A3E55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30.9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5AA62735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(0.11,0.18)</w:t>
            </w:r>
          </w:p>
        </w:tc>
        <w:tc>
          <w:tcPr>
            <w:tcW w:w="2643" w:type="dxa"/>
            <w:tcBorders>
              <w:top w:val="nil"/>
              <w:bottom w:val="nil"/>
            </w:tcBorders>
            <w:vAlign w:val="center"/>
          </w:tcPr>
          <w:p w14:paraId="333AFE69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Nat. Photon. 2023, 17(3):280-285.</w:t>
            </w:r>
          </w:p>
        </w:tc>
      </w:tr>
      <w:tr w14:paraId="73044471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7B3F6794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i/>
                <w:iCs/>
                <w:kern w:val="2"/>
                <w:sz w:val="24"/>
                <w:szCs w:val="24"/>
                <w14:ligatures w14:val="standardContextual"/>
              </w:rPr>
              <w:t>o</w:t>
            </w: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-Tol-ν-DABNA-Me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4A759093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472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1B384254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18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58554BB5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33.1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5B464BA0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(0.11, 0.12)</w:t>
            </w:r>
          </w:p>
        </w:tc>
        <w:tc>
          <w:tcPr>
            <w:tcW w:w="2643" w:type="dxa"/>
            <w:tcBorders>
              <w:top w:val="nil"/>
              <w:bottom w:val="nil"/>
            </w:tcBorders>
            <w:vAlign w:val="center"/>
          </w:tcPr>
          <w:p w14:paraId="32D0100B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Sci. Adv. 2023, 9(22):eadf1388.</w:t>
            </w:r>
          </w:p>
        </w:tc>
      </w:tr>
      <w:tr w14:paraId="3D9F17A6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05C2AA13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m-ν-DABNA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18035A85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471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53B45BF5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18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4938B652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36.2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1FB74C58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(0.12, 0.12)</w:t>
            </w:r>
          </w:p>
        </w:tc>
        <w:tc>
          <w:tcPr>
            <w:tcW w:w="2643" w:type="dxa"/>
            <w:vMerge w:val="restart"/>
            <w:tcBorders>
              <w:top w:val="nil"/>
              <w:bottom w:val="single" w:color="7E7E7E" w:themeColor="text1" w:themeTint="80" w:sz="4" w:space="0"/>
            </w:tcBorders>
            <w:vAlign w:val="center"/>
          </w:tcPr>
          <w:p w14:paraId="55F89CAA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Chem. Eng. J. 2022, 432:134381.</w:t>
            </w:r>
          </w:p>
        </w:tc>
      </w:tr>
      <w:tr w14:paraId="65033045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1B5B18BE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4F-ν-DABNA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10D0F7E9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464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3BC352AD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18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4F47970E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35.8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087AD69F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(0.13, 0.08)</w:t>
            </w:r>
          </w:p>
        </w:tc>
        <w:tc>
          <w:tcPr>
            <w:tcW w:w="2643" w:type="dxa"/>
            <w:vMerge w:val="continue"/>
            <w:vAlign w:val="center"/>
          </w:tcPr>
          <w:p w14:paraId="6B883FC4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14:paraId="06F600B4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nil"/>
            </w:tcBorders>
            <w:vAlign w:val="center"/>
          </w:tcPr>
          <w:p w14:paraId="465FC0D3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4F-mν-DABNA</w:t>
            </w:r>
          </w:p>
        </w:tc>
        <w:tc>
          <w:tcPr>
            <w:tcW w:w="772" w:type="dxa"/>
            <w:tcBorders>
              <w:top w:val="nil"/>
              <w:bottom w:val="nil"/>
            </w:tcBorders>
            <w:vAlign w:val="center"/>
          </w:tcPr>
          <w:p w14:paraId="62753EDC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461</w:t>
            </w:r>
          </w:p>
        </w:tc>
        <w:tc>
          <w:tcPr>
            <w:tcW w:w="1040" w:type="dxa"/>
            <w:tcBorders>
              <w:top w:val="nil"/>
              <w:bottom w:val="nil"/>
            </w:tcBorders>
            <w:vAlign w:val="center"/>
          </w:tcPr>
          <w:p w14:paraId="46F96074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18</w:t>
            </w:r>
          </w:p>
        </w:tc>
        <w:tc>
          <w:tcPr>
            <w:tcW w:w="1041" w:type="dxa"/>
            <w:tcBorders>
              <w:top w:val="nil"/>
              <w:bottom w:val="nil"/>
            </w:tcBorders>
            <w:vAlign w:val="center"/>
          </w:tcPr>
          <w:p w14:paraId="67F61682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33.7</w:t>
            </w:r>
          </w:p>
        </w:tc>
        <w:tc>
          <w:tcPr>
            <w:tcW w:w="1370" w:type="dxa"/>
            <w:tcBorders>
              <w:top w:val="nil"/>
              <w:bottom w:val="nil"/>
            </w:tcBorders>
            <w:vAlign w:val="center"/>
          </w:tcPr>
          <w:p w14:paraId="66CA674B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(0.13, 0.06)</w:t>
            </w:r>
          </w:p>
        </w:tc>
        <w:tc>
          <w:tcPr>
            <w:tcW w:w="2643" w:type="dxa"/>
            <w:vMerge w:val="continue"/>
            <w:tcBorders>
              <w:top w:val="single" w:color="7E7E7E" w:themeColor="text1" w:themeTint="80" w:sz="4" w:space="0"/>
              <w:bottom w:val="nil"/>
            </w:tcBorders>
            <w:vAlign w:val="center"/>
          </w:tcPr>
          <w:p w14:paraId="7DE9A1ED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14:paraId="77E8B4B1">
        <w:tblPrEx>
          <w:tblBorders>
            <w:top w:val="single" w:color="7E7E7E" w:themeColor="text1" w:themeTint="80" w:sz="4" w:space="0"/>
            <w:left w:val="none" w:color="auto" w:sz="0" w:space="0"/>
            <w:bottom w:val="single" w:color="7E7E7E" w:themeColor="text1" w:themeTint="80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42" w:hRule="atLeast"/>
          <w:jc w:val="center"/>
        </w:trPr>
        <w:tc>
          <w:tcPr>
            <w:tcW w:w="1454" w:type="dxa"/>
            <w:tcBorders>
              <w:top w:val="nil"/>
              <w:bottom w:val="single" w:color="auto" w:sz="4" w:space="0"/>
            </w:tcBorders>
            <w:vAlign w:val="center"/>
          </w:tcPr>
          <w:p w14:paraId="2685B9C2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14:ligatures w14:val="standardContextual"/>
              </w:rPr>
              <w:t>m[B-N]N1</w:t>
            </w:r>
          </w:p>
        </w:tc>
        <w:tc>
          <w:tcPr>
            <w:tcW w:w="772" w:type="dxa"/>
            <w:tcBorders>
              <w:top w:val="nil"/>
              <w:bottom w:val="single" w:color="auto" w:sz="4" w:space="0"/>
            </w:tcBorders>
            <w:vAlign w:val="center"/>
          </w:tcPr>
          <w:p w14:paraId="7333FC13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478</w:t>
            </w:r>
          </w:p>
        </w:tc>
        <w:tc>
          <w:tcPr>
            <w:tcW w:w="1040" w:type="dxa"/>
            <w:tcBorders>
              <w:top w:val="nil"/>
              <w:bottom w:val="single" w:color="auto" w:sz="4" w:space="0"/>
            </w:tcBorders>
            <w:vAlign w:val="center"/>
          </w:tcPr>
          <w:p w14:paraId="2C5A5260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30</w:t>
            </w:r>
          </w:p>
        </w:tc>
        <w:tc>
          <w:tcPr>
            <w:tcW w:w="1041" w:type="dxa"/>
            <w:tcBorders>
              <w:top w:val="nil"/>
              <w:bottom w:val="single" w:color="auto" w:sz="4" w:space="0"/>
            </w:tcBorders>
            <w:vAlign w:val="center"/>
          </w:tcPr>
          <w:p w14:paraId="2016EEE4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30.4</w:t>
            </w:r>
          </w:p>
        </w:tc>
        <w:tc>
          <w:tcPr>
            <w:tcW w:w="1370" w:type="dxa"/>
            <w:tcBorders>
              <w:top w:val="nil"/>
              <w:bottom w:val="single" w:color="auto" w:sz="4" w:space="0"/>
            </w:tcBorders>
            <w:vAlign w:val="center"/>
          </w:tcPr>
          <w:p w14:paraId="2AD75548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14:ligatures w14:val="standardContextual"/>
              </w:rPr>
              <w:t>(0.13, 0.27)</w:t>
            </w:r>
          </w:p>
        </w:tc>
        <w:tc>
          <w:tcPr>
            <w:tcW w:w="2643" w:type="dxa"/>
            <w:tcBorders>
              <w:top w:val="nil"/>
              <w:bottom w:val="single" w:color="auto" w:sz="4" w:space="0"/>
            </w:tcBorders>
            <w:vAlign w:val="center"/>
          </w:tcPr>
          <w:p w14:paraId="21EF6454">
            <w:pPr>
              <w:spacing w:after="0" w:line="360" w:lineRule="auto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de-DE"/>
                <w14:ligatures w14:val="standardContextual"/>
              </w:rPr>
            </w:pPr>
            <w:r>
              <w:rPr>
                <w:rFonts w:hint="eastAsia" w:ascii="Times New Roman" w:hAnsi="Times New Roman" w:eastAsia="宋体" w:cs="Times New Roman"/>
                <w:iCs/>
                <w:kern w:val="2"/>
                <w:sz w:val="24"/>
                <w:szCs w:val="24"/>
                <w:lang w:val="de-DE"/>
                <w14:ligatures w14:val="standardContextual"/>
              </w:rPr>
              <w:t>Angewandte Chemie International Edition</w:t>
            </w:r>
            <w:r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de-DE"/>
                <w14:ligatures w14:val="standardContextual"/>
              </w:rPr>
              <w:t>. 2022, 61(40):e202207293.</w:t>
            </w:r>
          </w:p>
        </w:tc>
      </w:tr>
      <w:bookmarkEnd w:id="4"/>
    </w:tbl>
    <w:p w14:paraId="260CA6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Kozuka Mincho Pr6N M">
    <w:altName w:val="MS UI Gothic"/>
    <w:panose1 w:val="02020600000000000000"/>
    <w:charset w:val="80"/>
    <w:family w:val="auto"/>
    <w:pitch w:val="default"/>
    <w:sig w:usb0="00000000" w:usb1="00000000" w:usb2="00000012" w:usb3="00000000" w:csb0="200200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zNzM0NDliNzU2OWMyN2ZhM2NlNjM5MGNjMWE1MGIifQ=="/>
  </w:docVars>
  <w:rsids>
    <w:rsidRoot w:val="00000000"/>
    <w:rsid w:val="23784177"/>
    <w:rsid w:val="4FC370FA"/>
    <w:rsid w:val="61484311"/>
    <w:rsid w:val="7162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ext"/>
    <w:basedOn w:val="1"/>
    <w:qFormat/>
    <w:uiPriority w:val="0"/>
    <w:pPr>
      <w:tabs>
        <w:tab w:val="right" w:pos="7200"/>
      </w:tabs>
      <w:spacing w:after="0" w:line="260" w:lineRule="exact"/>
      <w:jc w:val="both"/>
    </w:pPr>
    <w:rPr>
      <w:rFonts w:ascii="Times New Roman" w:hAnsi="Times New Roman" w:eastAsia="Times New Roman" w:cs="Times New Roman"/>
      <w:sz w:val="20"/>
      <w:szCs w:val="24"/>
      <w:lang w:eastAsia="en-US"/>
    </w:rPr>
  </w:style>
  <w:style w:type="table" w:customStyle="1" w:styleId="6">
    <w:name w:val="无格式表格 21"/>
    <w:basedOn w:val="2"/>
    <w:qFormat/>
    <w:uiPriority w:val="42"/>
    <w:rPr>
      <w:rFonts w:ascii="Times New Roman" w:hAnsi="Times New Roman" w:eastAsia="宋体"/>
      <w:kern w:val="2"/>
      <w:sz w:val="24"/>
      <w:szCs w:val="22"/>
      <w14:ligatures w14:val="standardContextual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297</Words>
  <Characters>1496</Characters>
  <Lines>0</Lines>
  <Paragraphs>0</Paragraphs>
  <TotalTime>2</TotalTime>
  <ScaleCrop>false</ScaleCrop>
  <LinksUpToDate>false</LinksUpToDate>
  <CharactersWithSpaces>1634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2024-11-12T03:34:00Z</dcterms:created>
  <dc:creator>PC</dc:creator>
  <cp:lastModifiedBy>Autism。</cp:lastModifiedBy>
  <dcterms:modified xsi:type="dcterms:W3CDTF">2024-12-11T06:16:45Z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E83D89CE8B90400BB29F3339E473EE6A_12</vt:lpwstr>
  </property>
</Properties>
</file>