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C7B562">
      <w:pPr>
        <w:pStyle w:val="5"/>
        <w:spacing w:line="360" w:lineRule="auto"/>
        <w:rPr>
          <w:bCs/>
          <w:sz w:val="24"/>
        </w:rPr>
      </w:pPr>
      <w:r>
        <w:rPr>
          <w:bCs/>
          <w:sz w:val="24"/>
        </w:rPr>
        <w:object>
          <v:shape id="_x0000_i1025" o:spt="75" type="#_x0000_t75" style="height:289.85pt;width:415.05pt;" o:ole="t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  <o:OLEObject Type="Embed" ProgID="MestReNova.Document.1" ShapeID="_x0000_i1025" DrawAspect="Content" ObjectID="_1468075725" r:id="rId6">
            <o:LockedField>false</o:LockedField>
          </o:OLEObject>
        </w:object>
      </w:r>
    </w:p>
    <w:p w14:paraId="45865202">
      <w:pPr>
        <w:pStyle w:val="5"/>
        <w:spacing w:line="360" w:lineRule="auto"/>
        <w:rPr>
          <w:bCs/>
          <w:sz w:val="24"/>
        </w:rPr>
      </w:pPr>
      <w:r>
        <w:rPr>
          <w:bCs/>
          <w:sz w:val="24"/>
        </w:rPr>
        <w:object>
          <v:shape id="_x0000_i1026" o:spt="75" type="#_x0000_t75" style="height:289.85pt;width:415.05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MestReNova.Document.1" ShapeID="_x0000_i1026" DrawAspect="Content" ObjectID="_1468075726" r:id="rId8">
            <o:LockedField>false</o:LockedField>
          </o:OLEObject>
        </w:object>
      </w:r>
    </w:p>
    <w:p w14:paraId="4D04F5A9">
      <w:pPr>
        <w:pStyle w:val="5"/>
        <w:spacing w:line="360" w:lineRule="auto"/>
        <w:rPr>
          <w:bCs/>
          <w:sz w:val="24"/>
        </w:rPr>
      </w:pPr>
      <w:r>
        <w:rPr>
          <w:b/>
          <w:bCs w:val="0"/>
          <w:sz w:val="24"/>
        </w:rPr>
        <w:t>Figure S1.</w:t>
      </w:r>
      <w:r>
        <w:rPr>
          <w:b/>
          <w:bCs w:val="0"/>
          <w:sz w:val="24"/>
          <w:vertAlign w:val="superscript"/>
        </w:rPr>
        <w:t xml:space="preserve"> </w:t>
      </w:r>
      <w:r>
        <w:rPr>
          <w:bCs/>
          <w:sz w:val="24"/>
          <w:vertAlign w:val="superscript"/>
        </w:rPr>
        <w:t>1</w:t>
      </w:r>
      <w:r>
        <w:rPr>
          <w:bCs/>
          <w:sz w:val="24"/>
        </w:rPr>
        <w:t xml:space="preserve">H </w:t>
      </w:r>
      <w:bookmarkStart w:id="0" w:name="_Hlk150785089"/>
      <w:r>
        <w:rPr>
          <w:bCs/>
          <w:sz w:val="24"/>
        </w:rPr>
        <w:t>NMR</w:t>
      </w:r>
      <w:bookmarkEnd w:id="0"/>
      <w:r>
        <w:rPr>
          <w:bCs/>
          <w:sz w:val="24"/>
        </w:rPr>
        <w:t xml:space="preserve"> and </w:t>
      </w:r>
      <w:r>
        <w:rPr>
          <w:bCs/>
          <w:sz w:val="24"/>
          <w:vertAlign w:val="superscript"/>
        </w:rPr>
        <w:t>13</w:t>
      </w:r>
      <w:r>
        <w:rPr>
          <w:bCs/>
          <w:sz w:val="24"/>
        </w:rPr>
        <w:t>C NMR spectrum of compound 4.</w:t>
      </w:r>
    </w:p>
    <w:p w14:paraId="26FF8439">
      <w:pPr>
        <w:pStyle w:val="5"/>
        <w:spacing w:line="360" w:lineRule="auto"/>
        <w:rPr>
          <w:bCs/>
          <w:sz w:val="24"/>
        </w:rPr>
      </w:pPr>
      <w:r>
        <w:rPr>
          <w:bCs/>
          <w:sz w:val="24"/>
        </w:rPr>
        <w:object>
          <v:shape id="_x0000_i1027" o:spt="75" type="#_x0000_t75" style="height:289.85pt;width:415.0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MestReNova.Document.1" ShapeID="_x0000_i1027" DrawAspect="Content" ObjectID="_1468075727" r:id="rId10">
            <o:LockedField>false</o:LockedField>
          </o:OLEObject>
        </w:object>
      </w:r>
    </w:p>
    <w:p w14:paraId="3380412B">
      <w:pPr>
        <w:pStyle w:val="5"/>
        <w:spacing w:line="360" w:lineRule="auto"/>
        <w:rPr>
          <w:bCs/>
          <w:sz w:val="24"/>
        </w:rPr>
      </w:pPr>
      <w:r>
        <w:rPr>
          <w:bCs/>
          <w:sz w:val="24"/>
        </w:rPr>
        <w:object>
          <v:shape id="_x0000_i1028" o:spt="75" type="#_x0000_t75" style="height:289.85pt;width:415.05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MestReNova.Document.1" ShapeID="_x0000_i1028" DrawAspect="Content" ObjectID="_1468075728" r:id="rId12">
            <o:LockedField>false</o:LockedField>
          </o:OLEObject>
        </w:object>
      </w:r>
    </w:p>
    <w:p w14:paraId="5A50ECE1">
      <w:pPr>
        <w:pStyle w:val="5"/>
        <w:spacing w:line="360" w:lineRule="auto"/>
        <w:rPr>
          <w:bCs/>
          <w:sz w:val="24"/>
        </w:rPr>
      </w:pPr>
      <w:r>
        <w:rPr>
          <w:b/>
          <w:bCs w:val="0"/>
          <w:sz w:val="24"/>
        </w:rPr>
        <w:t>Figure S2.</w:t>
      </w:r>
      <w:r>
        <w:rPr>
          <w:b/>
          <w:bCs w:val="0"/>
          <w:sz w:val="24"/>
          <w:vertAlign w:val="superscript"/>
        </w:rPr>
        <w:t xml:space="preserve"> </w:t>
      </w:r>
      <w:r>
        <w:rPr>
          <w:bCs/>
          <w:sz w:val="24"/>
          <w:vertAlign w:val="superscript"/>
        </w:rPr>
        <w:t>1</w:t>
      </w:r>
      <w:r>
        <w:rPr>
          <w:bCs/>
          <w:sz w:val="24"/>
        </w:rPr>
        <w:t xml:space="preserve">H NMR and </w:t>
      </w:r>
      <w:r>
        <w:rPr>
          <w:bCs/>
          <w:sz w:val="24"/>
          <w:vertAlign w:val="superscript"/>
        </w:rPr>
        <w:t>13</w:t>
      </w:r>
      <w:r>
        <w:rPr>
          <w:bCs/>
          <w:sz w:val="24"/>
        </w:rPr>
        <w:t>C NMR spectrum of compound 6.</w:t>
      </w:r>
    </w:p>
    <w:p w14:paraId="333671DF">
      <w:pPr>
        <w:pStyle w:val="5"/>
        <w:spacing w:line="360" w:lineRule="auto"/>
        <w:rPr>
          <w:bCs/>
          <w:sz w:val="24"/>
        </w:rPr>
      </w:pPr>
      <w:r>
        <w:rPr>
          <w:bCs/>
          <w:sz w:val="24"/>
        </w:rPr>
        <w:object>
          <v:shape id="_x0000_i1029" o:spt="75" type="#_x0000_t75" style="height:289.85pt;width:415.0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MestReNova.Document.1" ShapeID="_x0000_i1029" DrawAspect="Content" ObjectID="_1468075729" r:id="rId14">
            <o:LockedField>false</o:LockedField>
          </o:OLEObject>
        </w:object>
      </w:r>
    </w:p>
    <w:p w14:paraId="4ABB33CE">
      <w:pPr>
        <w:pStyle w:val="5"/>
        <w:spacing w:line="360" w:lineRule="auto"/>
        <w:rPr>
          <w:bCs/>
          <w:sz w:val="24"/>
        </w:rPr>
      </w:pPr>
      <w:r>
        <w:rPr>
          <w:bCs/>
          <w:sz w:val="24"/>
        </w:rPr>
        <w:object>
          <v:shape id="_x0000_i1030" o:spt="75" type="#_x0000_t75" style="height:289.85pt;width:415.0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MestReNova.Document.1" ShapeID="_x0000_i1030" DrawAspect="Content" ObjectID="_1468075730" r:id="rId16">
            <o:LockedField>false</o:LockedField>
          </o:OLEObject>
        </w:object>
      </w:r>
    </w:p>
    <w:p w14:paraId="0ABF3DBB">
      <w:pPr>
        <w:pStyle w:val="5"/>
        <w:spacing w:line="360" w:lineRule="auto"/>
        <w:rPr>
          <w:bCs/>
          <w:sz w:val="24"/>
        </w:rPr>
      </w:pPr>
      <w:r>
        <w:rPr>
          <w:b/>
          <w:bCs w:val="0"/>
          <w:sz w:val="24"/>
        </w:rPr>
        <w:t>Figure S3.</w:t>
      </w:r>
      <w:r>
        <w:rPr>
          <w:bCs/>
          <w:sz w:val="24"/>
          <w:vertAlign w:val="superscript"/>
        </w:rPr>
        <w:t xml:space="preserve"> 1</w:t>
      </w:r>
      <w:r>
        <w:rPr>
          <w:bCs/>
          <w:sz w:val="24"/>
        </w:rPr>
        <w:t xml:space="preserve">H NMR and </w:t>
      </w:r>
      <w:r>
        <w:rPr>
          <w:bCs/>
          <w:sz w:val="24"/>
          <w:vertAlign w:val="superscript"/>
        </w:rPr>
        <w:t>13</w:t>
      </w:r>
      <w:r>
        <w:rPr>
          <w:bCs/>
          <w:sz w:val="24"/>
        </w:rPr>
        <w:t>C NMR spectrum of compound 7.</w:t>
      </w:r>
    </w:p>
    <w:p w14:paraId="65AFE4E1">
      <w:pPr>
        <w:pStyle w:val="5"/>
        <w:spacing w:line="360" w:lineRule="auto"/>
        <w:rPr>
          <w:bCs/>
          <w:sz w:val="24"/>
        </w:rPr>
      </w:pPr>
    </w:p>
    <w:p w14:paraId="30E00658">
      <w:pPr>
        <w:pStyle w:val="5"/>
        <w:spacing w:line="360" w:lineRule="auto"/>
        <w:rPr>
          <w:bCs/>
          <w:sz w:val="24"/>
        </w:rPr>
      </w:pPr>
      <w:r>
        <w:rPr>
          <w:bCs/>
          <w:sz w:val="24"/>
        </w:rPr>
        <w:object>
          <v:shape id="_x0000_i1031" o:spt="75" type="#_x0000_t75" style="height:289.85pt;width:415.0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MestReNova.Document.1" ShapeID="_x0000_i1031" DrawAspect="Content" ObjectID="_1468075731" r:id="rId18">
            <o:LockedField>false</o:LockedField>
          </o:OLEObject>
        </w:object>
      </w:r>
    </w:p>
    <w:p w14:paraId="1D60289A">
      <w:pPr>
        <w:pStyle w:val="5"/>
        <w:spacing w:line="360" w:lineRule="auto"/>
        <w:rPr>
          <w:bCs/>
          <w:sz w:val="24"/>
        </w:rPr>
      </w:pPr>
      <w:r>
        <w:rPr>
          <w:bCs/>
          <w:sz w:val="24"/>
        </w:rPr>
        <w:object>
          <v:shape id="_x0000_i1032" o:spt="75" type="#_x0000_t75" style="height:289.85pt;width:415.0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MestReNova.Document.1" ShapeID="_x0000_i1032" DrawAspect="Content" ObjectID="_1468075732" r:id="rId20">
            <o:LockedField>false</o:LockedField>
          </o:OLEObject>
        </w:object>
      </w:r>
    </w:p>
    <w:p w14:paraId="0D024C21">
      <w:pPr>
        <w:pStyle w:val="5"/>
        <w:spacing w:line="360" w:lineRule="auto"/>
        <w:rPr>
          <w:bCs/>
          <w:sz w:val="24"/>
        </w:rPr>
      </w:pPr>
      <w:r>
        <w:rPr>
          <w:b/>
          <w:bCs w:val="0"/>
          <w:sz w:val="24"/>
        </w:rPr>
        <w:t>Figure S4.</w:t>
      </w:r>
      <w:r>
        <w:rPr>
          <w:bCs/>
          <w:sz w:val="24"/>
          <w:vertAlign w:val="superscript"/>
        </w:rPr>
        <w:t xml:space="preserve"> 1</w:t>
      </w:r>
      <w:r>
        <w:rPr>
          <w:bCs/>
          <w:sz w:val="24"/>
        </w:rPr>
        <w:t xml:space="preserve">H NMR and </w:t>
      </w:r>
      <w:r>
        <w:rPr>
          <w:bCs/>
          <w:sz w:val="24"/>
          <w:vertAlign w:val="superscript"/>
        </w:rPr>
        <w:t>13</w:t>
      </w:r>
      <w:r>
        <w:rPr>
          <w:bCs/>
          <w:sz w:val="24"/>
        </w:rPr>
        <w:t>C NMR spectrum of DTPF-ν-DABNA.</w:t>
      </w:r>
    </w:p>
    <w:p w14:paraId="2C2F3999">
      <w:pPr>
        <w:pStyle w:val="5"/>
        <w:spacing w:line="360" w:lineRule="auto"/>
        <w:rPr>
          <w:bCs/>
          <w:sz w:val="24"/>
        </w:rPr>
      </w:pPr>
    </w:p>
    <w:p w14:paraId="10A74C1C">
      <w:pPr>
        <w:pStyle w:val="5"/>
        <w:spacing w:line="360" w:lineRule="auto"/>
        <w:rPr>
          <w:bCs/>
          <w:sz w:val="24"/>
        </w:rPr>
      </w:pPr>
      <w:r>
        <w:rPr>
          <w:bCs/>
          <w:sz w:val="24"/>
        </w:rPr>
        <w:object>
          <v:shape id="_x0000_i1033" o:spt="75" type="#_x0000_t75" style="height:289.85pt;width:415.05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MestReNova.Document.1" ShapeID="_x0000_i1033" DrawAspect="Content" ObjectID="_1468075733" r:id="rId22">
            <o:LockedField>false</o:LockedField>
          </o:OLEObject>
        </w:object>
      </w:r>
    </w:p>
    <w:p w14:paraId="7D1F82FE">
      <w:pPr>
        <w:pStyle w:val="5"/>
        <w:spacing w:line="360" w:lineRule="auto"/>
        <w:rPr>
          <w:bCs/>
          <w:sz w:val="24"/>
        </w:rPr>
      </w:pPr>
      <w:r>
        <w:rPr>
          <w:bCs/>
          <w:sz w:val="24"/>
        </w:rPr>
        <w:object>
          <v:shape id="_x0000_i1034" o:spt="75" type="#_x0000_t75" style="height:289.85pt;width:415.05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MestReNova.Document.1" ShapeID="_x0000_i1034" DrawAspect="Content" ObjectID="_1468075734" r:id="rId24">
            <o:LockedField>false</o:LockedField>
          </o:OLEObject>
        </w:object>
      </w:r>
    </w:p>
    <w:p w14:paraId="3CF14CA6">
      <w:pPr>
        <w:pStyle w:val="5"/>
        <w:spacing w:line="360" w:lineRule="auto"/>
        <w:rPr>
          <w:rFonts w:eastAsiaTheme="minorEastAsia"/>
          <w:bCs/>
          <w:sz w:val="24"/>
          <w:lang w:eastAsia="zh-CN"/>
        </w:rPr>
      </w:pPr>
      <w:r>
        <w:rPr>
          <w:rFonts w:eastAsiaTheme="minorEastAsia"/>
          <w:b/>
          <w:bCs w:val="0"/>
          <w:sz w:val="24"/>
          <w:lang w:eastAsia="zh-CN"/>
        </w:rPr>
        <w:t>Figure S5.</w:t>
      </w:r>
      <w:r>
        <w:rPr>
          <w:rFonts w:eastAsiaTheme="minorEastAsia"/>
          <w:b/>
          <w:bCs w:val="0"/>
          <w:sz w:val="24"/>
          <w:vertAlign w:val="superscript"/>
          <w:lang w:eastAsia="zh-CN"/>
        </w:rPr>
        <w:t xml:space="preserve"> </w:t>
      </w:r>
      <w:r>
        <w:rPr>
          <w:rFonts w:eastAsiaTheme="minorEastAsia"/>
          <w:bCs/>
          <w:sz w:val="24"/>
          <w:vertAlign w:val="superscript"/>
          <w:lang w:eastAsia="zh-CN"/>
        </w:rPr>
        <w:t>1</w:t>
      </w:r>
      <w:r>
        <w:rPr>
          <w:rFonts w:eastAsiaTheme="minorEastAsia"/>
          <w:bCs/>
          <w:sz w:val="24"/>
          <w:lang w:eastAsia="zh-CN"/>
        </w:rPr>
        <w:t xml:space="preserve">H NMR and </w:t>
      </w:r>
      <w:r>
        <w:rPr>
          <w:rFonts w:eastAsiaTheme="minorEastAsia"/>
          <w:bCs/>
          <w:sz w:val="24"/>
          <w:vertAlign w:val="superscript"/>
          <w:lang w:eastAsia="zh-CN"/>
        </w:rPr>
        <w:t>13</w:t>
      </w:r>
      <w:r>
        <w:rPr>
          <w:rFonts w:eastAsiaTheme="minorEastAsia"/>
          <w:bCs/>
          <w:sz w:val="24"/>
          <w:lang w:eastAsia="zh-CN"/>
        </w:rPr>
        <w:t>C NMR spectrum of compound DTP-ν-DABNA</w:t>
      </w:r>
    </w:p>
    <w:p w14:paraId="02E8F38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DD3964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5039995" cy="2065655"/>
            <wp:effectExtent l="0" t="0" r="4445" b="0"/>
            <wp:docPr id="63561708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617087" name="图片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0660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37FA0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Figure S</w:t>
      </w:r>
      <w:r>
        <w:rPr>
          <w:rFonts w:hint="eastAsia" w:ascii="Times New Roman" w:hAnsi="Times New Roman" w:cs="Times New Roman"/>
          <w:b/>
          <w:bCs/>
          <w:sz w:val="24"/>
          <w:szCs w:val="24"/>
        </w:rPr>
        <w:t>6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Calculation results of (a) ν-DABNA, (b) 4F-ν-DABNA and (c) ν-DABNA without diphenylamine</w:t>
      </w:r>
    </w:p>
    <w:p w14:paraId="0B071D5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AFD790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4825365" cy="1767840"/>
            <wp:effectExtent l="0" t="0" r="635" b="10160"/>
            <wp:docPr id="7317078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707834" name="图片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25365" cy="1767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190D5C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Figure S</w:t>
      </w:r>
      <w:r>
        <w:rPr>
          <w:rFonts w:hint="eastAsia" w:ascii="Times New Roman" w:hAnsi="Times New Roman" w:cs="Times New Roman"/>
          <w:b/>
          <w:bCs/>
          <w:sz w:val="24"/>
          <w:szCs w:val="24"/>
        </w:rPr>
        <w:t>7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Packing mode of </w:t>
      </w:r>
      <w:r>
        <w:rPr>
          <w:rFonts w:ascii="Times New Roman" w:hAnsi="Times New Roman" w:cs="Times New Roman"/>
          <w:color w:val="000000"/>
          <w:sz w:val="24"/>
          <w:szCs w:val="24"/>
        </w:rPr>
        <w:t>DTPF-ν-DABNA (a) and DTP-ν-DABNA (b).</w:t>
      </w:r>
    </w:p>
    <w:p w14:paraId="163B6A85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31225A04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drawing>
          <wp:inline distT="0" distB="0" distL="0" distR="0">
            <wp:extent cx="4831080" cy="2910840"/>
            <wp:effectExtent l="0" t="0" r="7620" b="0"/>
            <wp:docPr id="37292289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922891" name="图片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31080" cy="2910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875954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Figure S</w:t>
      </w:r>
      <w:r>
        <w:rPr>
          <w:rFonts w:hint="eastAsia" w:ascii="Times New Roman" w:hAnsi="Times New Roman" w:cs="Times New Roman"/>
          <w:b/>
          <w:bCs/>
          <w:sz w:val="24"/>
          <w:szCs w:val="24"/>
        </w:rPr>
        <w:t>8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Excited states of </w:t>
      </w:r>
      <w:r>
        <w:rPr>
          <w:rFonts w:ascii="Times New Roman" w:hAnsi="Times New Roman" w:cs="Times New Roman"/>
          <w:color w:val="000000"/>
          <w:sz w:val="24"/>
          <w:szCs w:val="24"/>
        </w:rPr>
        <w:t>DTPF-ν-DABNA and DTP-ν-DABNA.</w:t>
      </w:r>
    </w:p>
    <w:p w14:paraId="527AC74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761355" cy="3025775"/>
            <wp:effectExtent l="0" t="0" r="4445" b="0"/>
            <wp:docPr id="46343810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438104" name="图片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302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3CC25E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Figure S9.</w:t>
      </w:r>
      <w:r>
        <w:rPr>
          <w:rFonts w:ascii="Times New Roman" w:hAnsi="Times New Roman" w:cs="Times New Roman"/>
          <w:sz w:val="24"/>
          <w:szCs w:val="24"/>
        </w:rPr>
        <w:t xml:space="preserve"> Excited states of </w:t>
      </w:r>
      <w:r>
        <w:rPr>
          <w:rFonts w:ascii="Times New Roman" w:hAnsi="Times New Roman" w:cs="Times New Roman"/>
          <w:color w:val="000000"/>
          <w:sz w:val="24"/>
          <w:szCs w:val="24"/>
        </w:rPr>
        <w:t>ν-DABNA and 4F-ν-DABNA.</w:t>
      </w:r>
    </w:p>
    <w:p w14:paraId="15ECB0D9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74F9717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868035" cy="1601470"/>
            <wp:effectExtent l="0" t="0" r="0" b="0"/>
            <wp:docPr id="1915244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524425" name="图片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1601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8353A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Figure S10.</w:t>
      </w:r>
      <w:r>
        <w:rPr>
          <w:rFonts w:ascii="Times New Roman" w:hAnsi="Times New Roman" w:cs="Times New Roman"/>
          <w:sz w:val="24"/>
          <w:szCs w:val="24"/>
        </w:rPr>
        <w:t xml:space="preserve"> TGA of DTPF-ν-DABNA (a) and DTP-ν-DABNA (b)</w:t>
      </w:r>
      <w:r>
        <w:rPr>
          <w:rFonts w:hint="eastAsia"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CV (c) curve of DTPF-ν-DABNA and DTP-ν-DABNA.</w:t>
      </w:r>
    </w:p>
    <w:p w14:paraId="7B3049D1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68CC22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4569460" cy="3366135"/>
            <wp:effectExtent l="0" t="0" r="0" b="0"/>
            <wp:docPr id="17591909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919096" name="图片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69460" cy="3366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0102F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Figure S11.</w:t>
      </w:r>
      <w:r>
        <w:rPr>
          <w:rFonts w:ascii="Times New Roman" w:hAnsi="Times New Roman" w:cs="Times New Roman"/>
          <w:sz w:val="24"/>
          <w:szCs w:val="24"/>
        </w:rPr>
        <w:t xml:space="preserve"> Absorption and fluorescence spectra of (a, c) </w:t>
      </w:r>
      <w:r>
        <w:rPr>
          <w:rFonts w:ascii="Times New Roman" w:hAnsi="Times New Roman" w:cs="Times New Roman"/>
          <w:color w:val="000000"/>
          <w:sz w:val="24"/>
          <w:szCs w:val="24"/>
        </w:rPr>
        <w:t>DTPF-ν-DABNA</w:t>
      </w:r>
      <w:r>
        <w:rPr>
          <w:rFonts w:ascii="Times New Roman" w:hAnsi="Times New Roman" w:cs="Times New Roman"/>
          <w:sz w:val="24"/>
          <w:szCs w:val="24"/>
        </w:rPr>
        <w:t xml:space="preserve"> and (b, d) </w:t>
      </w:r>
      <w:r>
        <w:rPr>
          <w:rFonts w:ascii="Times New Roman" w:hAnsi="Times New Roman" w:cs="Times New Roman"/>
          <w:color w:val="000000"/>
          <w:sz w:val="24"/>
          <w:szCs w:val="24"/>
        </w:rPr>
        <w:t>DTP-ν-DABNA</w:t>
      </w:r>
      <w:r>
        <w:rPr>
          <w:rFonts w:ascii="Times New Roman" w:hAnsi="Times New Roman" w:cs="Times New Roman"/>
          <w:sz w:val="24"/>
          <w:szCs w:val="24"/>
        </w:rPr>
        <w:t xml:space="preserve"> in various solvents (toluene, tetrahydrofuran, N,N-Dimethylformamide, dichloromethane, trichloromethane, 1,4-Dioxane and n-Hexane).</w:t>
      </w:r>
    </w:p>
    <w:p w14:paraId="292FC94C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94A342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4620260" cy="3260090"/>
            <wp:effectExtent l="0" t="0" r="0" b="0"/>
            <wp:docPr id="79593317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5933175" name="图片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20260" cy="3260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BF002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Figure S12.</w:t>
      </w:r>
      <w:r>
        <w:rPr>
          <w:rFonts w:ascii="Times New Roman" w:hAnsi="Times New Roman" w:cs="Times New Roman"/>
          <w:sz w:val="24"/>
          <w:szCs w:val="24"/>
        </w:rPr>
        <w:t xml:space="preserve"> Fluorescence spectra 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of  </w:t>
      </w:r>
      <w:r>
        <w:rPr>
          <w:rFonts w:ascii="Times New Roman" w:hAnsi="Times New Roman" w:cs="Times New Roman"/>
          <w:sz w:val="24"/>
          <w:szCs w:val="24"/>
        </w:rPr>
        <w:t>DTPF-ν-DABNA and DTP-ν-DABNA (a) PPF (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2 wt%</w:t>
      </w:r>
      <w:r>
        <w:rPr>
          <w:rFonts w:ascii="Times New Roman" w:hAnsi="Times New Roman" w:cs="Times New Roman"/>
          <w:sz w:val="24"/>
          <w:szCs w:val="24"/>
        </w:rPr>
        <w:t xml:space="preserve"> doped film) and (b) neat film , transient spectra of (c) DTPF-ν-DABNA and (d) DTP-ν-DABNA in PPF (2 wt% doped film) at different temperatures from 77 to 300 K.</w:t>
      </w:r>
    </w:p>
    <w:p w14:paraId="0B5A0059">
      <w:pPr>
        <w:pStyle w:val="5"/>
        <w:spacing w:line="360" w:lineRule="auto"/>
        <w:rPr>
          <w:rFonts w:eastAsiaTheme="minorEastAsia"/>
          <w:b/>
          <w:sz w:val="24"/>
          <w:lang w:eastAsia="zh-CN"/>
        </w:rPr>
      </w:pPr>
    </w:p>
    <w:p w14:paraId="735F57C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274310" cy="3221990"/>
            <wp:effectExtent l="0" t="0" r="0" b="0"/>
            <wp:docPr id="23445799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457993" name="图片 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48" b="129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2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B70AE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039995" cy="3155950"/>
            <wp:effectExtent l="0" t="0" r="4445" b="0"/>
            <wp:docPr id="88901457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014579" name="图片 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156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299D1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Figure S13.</w:t>
      </w:r>
      <w:r>
        <w:rPr>
          <w:rFonts w:ascii="Times New Roman" w:hAnsi="Times New Roman" w:cs="Times New Roman"/>
          <w:sz w:val="24"/>
          <w:szCs w:val="24"/>
        </w:rPr>
        <w:t xml:space="preserve"> Energy-level diagram and chemical structures of the materials for the OLEDs based on DTPF-ν-DABNA and DTP-ν-DABNA as MR-TADF emitters.</w:t>
      </w:r>
    </w:p>
    <w:p w14:paraId="5F7BD05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039995" cy="3611880"/>
            <wp:effectExtent l="0" t="0" r="0" b="0"/>
            <wp:docPr id="19812540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254024" name="图片 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6121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F4B62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Figure S14.</w:t>
      </w:r>
      <w:r>
        <w:rPr>
          <w:rFonts w:ascii="Times New Roman" w:hAnsi="Times New Roman" w:cs="Times New Roman"/>
          <w:sz w:val="24"/>
          <w:szCs w:val="24"/>
        </w:rPr>
        <w:t xml:space="preserve"> Current efficiency (CE) versus power efficiency (PE) versus luminance characteristics.</w:t>
      </w:r>
    </w:p>
    <w:p w14:paraId="65FBFAF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bookmarkStart w:id="1" w:name="_Hlk154739837"/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4444365" cy="3401695"/>
            <wp:effectExtent l="0" t="0" r="0" b="0"/>
            <wp:docPr id="130250467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2504678" name="图片 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44365" cy="340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586C4471">
      <w:pPr>
        <w:shd w:val="clear" w:color="auto" w:fill="FFFFFF"/>
        <w:spacing w:after="0" w:line="360" w:lineRule="auto"/>
        <w:jc w:val="both"/>
      </w:pPr>
      <w:r>
        <w:rPr>
          <w:rFonts w:ascii="Times New Roman" w:hAnsi="Times New Roman" w:cs="Times New Roman"/>
          <w:b/>
          <w:bCs/>
          <w:sz w:val="24"/>
          <w:szCs w:val="24"/>
        </w:rPr>
        <w:t>Figure S15.</w:t>
      </w:r>
      <w:r>
        <w:rPr>
          <w:rFonts w:ascii="Times New Roman" w:hAnsi="Times New Roman" w:cs="Times New Roman"/>
          <w:sz w:val="24"/>
          <w:szCs w:val="24"/>
        </w:rPr>
        <w:t xml:space="preserve"> Device lifetime of DTPF-ν-DABNA and DTP-ν-DABNA.</w:t>
      </w:r>
      <w:bookmarkEnd w:id="1"/>
    </w:p>
    <w:p w14:paraId="260CA63C">
      <w:bookmarkStart w:id="2" w:name="_GoBack"/>
      <w:bookmarkEnd w:id="2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EzNzM0NDliNzU2OWMyN2ZhM2NlNjM5MGNjMWE1MGIifQ=="/>
  </w:docVars>
  <w:rsids>
    <w:rsidRoot w:val="00000000"/>
    <w:rsid w:val="36941CA0"/>
    <w:rsid w:val="61484311"/>
    <w:rsid w:val="6CA571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3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5">
    <w:name w:val="Text"/>
    <w:basedOn w:val="1"/>
    <w:qFormat/>
    <w:uiPriority w:val="0"/>
    <w:pPr>
      <w:tabs>
        <w:tab w:val="right" w:pos="7200"/>
      </w:tabs>
      <w:spacing w:after="0" w:line="260" w:lineRule="exact"/>
      <w:jc w:val="both"/>
    </w:pPr>
    <w:rPr>
      <w:rFonts w:ascii="Times New Roman" w:hAnsi="Times New Roman" w:eastAsia="Times New Roman" w:cs="Times New Roman"/>
      <w:sz w:val="20"/>
      <w:szCs w:val="24"/>
      <w:lang w:eastAsia="en-US"/>
    </w:rPr>
  </w:style>
  <w:style w:type="table" w:customStyle="1" w:styleId="6">
    <w:name w:val="无格式表格 21"/>
    <w:basedOn w:val="2"/>
    <w:qFormat/>
    <w:uiPriority w:val="42"/>
    <w:rPr>
      <w:rFonts w:ascii="Times New Roman" w:hAnsi="Times New Roman" w:eastAsia="宋体"/>
      <w:kern w:val="2"/>
      <w:sz w:val="24"/>
      <w:szCs w:val="22"/>
      <w14:ligatures w14:val="standardContextual"/>
    </w:rPr>
    <w:tblPr>
      <w:tblBorders>
        <w:top w:val="single" w:color="7E7E7E" w:themeColor="text1" w:themeTint="80" w:sz="4" w:space="0"/>
        <w:bottom w:val="single" w:color="7E7E7E" w:themeColor="text1" w:themeTint="80" w:sz="4" w:space="0"/>
      </w:tblBorders>
    </w:tblPr>
    <w:tblStylePr w:type="firstRow">
      <w:rPr>
        <w:b/>
        <w:bCs/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bCs/>
      </w:rPr>
      <w:tcPr>
        <w:tcBorders>
          <w:top w:val="single" w:color="7E7E7E" w:themeColor="text1" w:themeTint="80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2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1Horz">
      <w:tcPr>
        <w:tcBorders>
          <w:top w:val="single" w:color="7E7E7E" w:themeColor="text1" w:themeTint="80" w:sz="4" w:space="0"/>
          <w:bottom w:val="single" w:color="7E7E7E" w:themeColor="text1" w:themeTint="80" w:sz="4" w:space="0"/>
        </w:tcBorders>
      </w:tcPr>
    </w:tblStyle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emf"/><Relationship Id="rId8" Type="http://schemas.openxmlformats.org/officeDocument/2006/relationships/oleObject" Target="embeddings/oleObject2.bin"/><Relationship Id="rId7" Type="http://schemas.openxmlformats.org/officeDocument/2006/relationships/image" Target="media/image1.emf"/><Relationship Id="rId6" Type="http://schemas.openxmlformats.org/officeDocument/2006/relationships/oleObject" Target="embeddings/oleObject1.bin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7" Type="http://schemas.openxmlformats.org/officeDocument/2006/relationships/fontTable" Target="fontTable.xml"/><Relationship Id="rId36" Type="http://schemas.openxmlformats.org/officeDocument/2006/relationships/image" Target="media/image21.emf"/><Relationship Id="rId35" Type="http://schemas.openxmlformats.org/officeDocument/2006/relationships/image" Target="media/image20.png"/><Relationship Id="rId34" Type="http://schemas.openxmlformats.org/officeDocument/2006/relationships/image" Target="media/image19.emf"/><Relationship Id="rId33" Type="http://schemas.openxmlformats.org/officeDocument/2006/relationships/image" Target="media/image18.emf"/><Relationship Id="rId32" Type="http://schemas.openxmlformats.org/officeDocument/2006/relationships/image" Target="media/image17.png"/><Relationship Id="rId31" Type="http://schemas.openxmlformats.org/officeDocument/2006/relationships/image" Target="media/image16.png"/><Relationship Id="rId30" Type="http://schemas.openxmlformats.org/officeDocument/2006/relationships/image" Target="media/image15.png"/><Relationship Id="rId3" Type="http://schemas.openxmlformats.org/officeDocument/2006/relationships/footnotes" Target="footnotes.xml"/><Relationship Id="rId29" Type="http://schemas.openxmlformats.org/officeDocument/2006/relationships/image" Target="media/image14.png"/><Relationship Id="rId28" Type="http://schemas.openxmlformats.org/officeDocument/2006/relationships/image" Target="media/image13.png"/><Relationship Id="rId27" Type="http://schemas.openxmlformats.org/officeDocument/2006/relationships/image" Target="media/image12.png"/><Relationship Id="rId26" Type="http://schemas.openxmlformats.org/officeDocument/2006/relationships/image" Target="media/image11.png"/><Relationship Id="rId25" Type="http://schemas.openxmlformats.org/officeDocument/2006/relationships/image" Target="media/image10.emf"/><Relationship Id="rId24" Type="http://schemas.openxmlformats.org/officeDocument/2006/relationships/oleObject" Target="embeddings/oleObject10.bin"/><Relationship Id="rId23" Type="http://schemas.openxmlformats.org/officeDocument/2006/relationships/image" Target="media/image9.emf"/><Relationship Id="rId22" Type="http://schemas.openxmlformats.org/officeDocument/2006/relationships/oleObject" Target="embeddings/oleObject9.bin"/><Relationship Id="rId21" Type="http://schemas.openxmlformats.org/officeDocument/2006/relationships/image" Target="media/image8.emf"/><Relationship Id="rId20" Type="http://schemas.openxmlformats.org/officeDocument/2006/relationships/oleObject" Target="embeddings/oleObject8.bin"/><Relationship Id="rId2" Type="http://schemas.openxmlformats.org/officeDocument/2006/relationships/settings" Target="settings.xml"/><Relationship Id="rId19" Type="http://schemas.openxmlformats.org/officeDocument/2006/relationships/image" Target="media/image7.emf"/><Relationship Id="rId18" Type="http://schemas.openxmlformats.org/officeDocument/2006/relationships/oleObject" Target="embeddings/oleObject7.bin"/><Relationship Id="rId17" Type="http://schemas.openxmlformats.org/officeDocument/2006/relationships/image" Target="media/image6.emf"/><Relationship Id="rId16" Type="http://schemas.openxmlformats.org/officeDocument/2006/relationships/oleObject" Target="embeddings/oleObject6.bin"/><Relationship Id="rId15" Type="http://schemas.openxmlformats.org/officeDocument/2006/relationships/image" Target="media/image5.emf"/><Relationship Id="rId14" Type="http://schemas.openxmlformats.org/officeDocument/2006/relationships/oleObject" Target="embeddings/oleObject5.bin"/><Relationship Id="rId13" Type="http://schemas.openxmlformats.org/officeDocument/2006/relationships/image" Target="media/image4.emf"/><Relationship Id="rId12" Type="http://schemas.openxmlformats.org/officeDocument/2006/relationships/oleObject" Target="embeddings/oleObject4.bin"/><Relationship Id="rId11" Type="http://schemas.openxmlformats.org/officeDocument/2006/relationships/image" Target="media/image3.emf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218</Words>
  <Characters>1233</Characters>
  <Lines>0</Lines>
  <Paragraphs>0</Paragraphs>
  <TotalTime>2</TotalTime>
  <ScaleCrop>false</ScaleCrop>
  <LinksUpToDate>false</LinksUpToDate>
  <CharactersWithSpaces>1437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2024-11-12T03:34:00Z</dcterms:created>
  <dc:creator>PC</dc:creator>
  <cp:lastModifiedBy>Autism。</cp:lastModifiedBy>
  <dcterms:modified xsi:type="dcterms:W3CDTF">2024-12-11T06:15:40Z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E83D89CE8B90400BB29F3339E473EE6A_12</vt:lpwstr>
  </property>
</Properties>
</file>