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0C571C" w14:textId="77777777" w:rsidR="00603A00" w:rsidRDefault="00000000">
      <w:pPr>
        <w:pStyle w:val="TextIndent"/>
        <w:spacing w:line="360" w:lineRule="auto"/>
        <w:ind w:firstLine="0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 xml:space="preserve">Table </w:t>
      </w:r>
      <w:r>
        <w:rPr>
          <w:rFonts w:eastAsiaTheme="minorEastAsia"/>
          <w:b/>
          <w:sz w:val="24"/>
          <w:szCs w:val="24"/>
          <w:lang w:val="en-GB" w:eastAsia="zh-CN"/>
        </w:rPr>
        <w:t>S</w:t>
      </w:r>
      <w:r>
        <w:rPr>
          <w:b/>
          <w:sz w:val="24"/>
          <w:szCs w:val="24"/>
          <w:lang w:val="en-GB"/>
        </w:rPr>
        <w:t xml:space="preserve">1. </w:t>
      </w:r>
      <w:r>
        <w:rPr>
          <w:bCs/>
          <w:sz w:val="24"/>
          <w:szCs w:val="24"/>
          <w:lang w:val="en-GB"/>
        </w:rPr>
        <w:t xml:space="preserve">Influencing variables. </w:t>
      </w:r>
    </w:p>
    <w:tbl>
      <w:tblPr>
        <w:tblW w:w="8725" w:type="dxa"/>
        <w:tblLook w:val="04A0" w:firstRow="1" w:lastRow="0" w:firstColumn="1" w:lastColumn="0" w:noHBand="0" w:noVBand="1"/>
      </w:tblPr>
      <w:tblGrid>
        <w:gridCol w:w="3325"/>
        <w:gridCol w:w="3065"/>
        <w:gridCol w:w="2335"/>
      </w:tblGrid>
      <w:tr w:rsidR="00603A00" w14:paraId="6064F6BC" w14:textId="77777777">
        <w:trPr>
          <w:trHeight w:val="20"/>
          <w:tblHeader/>
        </w:trPr>
        <w:tc>
          <w:tcPr>
            <w:tcW w:w="3325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4F7696E7" w14:textId="77777777" w:rsidR="00603A00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ko-KR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ko-KR"/>
                <w14:ligatures w14:val="standardContextual"/>
              </w:rPr>
              <w:t>Influencing variables</w:t>
            </w:r>
          </w:p>
        </w:tc>
        <w:tc>
          <w:tcPr>
            <w:tcW w:w="54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87EB92" w14:textId="77777777" w:rsidR="00603A00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ko-KR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ko-KR"/>
                <w14:ligatures w14:val="standardContextual"/>
              </w:rPr>
              <w:t>Key references</w:t>
            </w:r>
          </w:p>
        </w:tc>
      </w:tr>
      <w:tr w:rsidR="00603A00" w14:paraId="203D6655" w14:textId="77777777">
        <w:trPr>
          <w:trHeight w:val="20"/>
          <w:tblHeader/>
        </w:trPr>
        <w:tc>
          <w:tcPr>
            <w:tcW w:w="3325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5A7B11" w14:textId="77777777" w:rsidR="00603A00" w:rsidRDefault="00603A00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ko-KR"/>
                <w14:ligatures w14:val="standardContextual"/>
              </w:rPr>
            </w:pPr>
          </w:p>
        </w:tc>
        <w:tc>
          <w:tcPr>
            <w:tcW w:w="30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2FFCD0" w14:textId="77777777" w:rsidR="00603A00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Drivers and barriers in GB/ IEQ technology adoption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0295E7" w14:textId="77777777" w:rsidR="00603A00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Strategy for indoor air quality in hospitals</w:t>
            </w:r>
          </w:p>
        </w:tc>
      </w:tr>
      <w:tr w:rsidR="00603A00" w14:paraId="777DE3D2" w14:textId="77777777">
        <w:trPr>
          <w:trHeight w:val="20"/>
        </w:trPr>
        <w:tc>
          <w:tcPr>
            <w:tcW w:w="33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8B932F" w14:textId="77777777" w:rsidR="00603A00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Higher initial cost, long pay-back</w:t>
            </w:r>
          </w:p>
        </w:tc>
        <w:tc>
          <w:tcPr>
            <w:tcW w:w="30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9A56C6" w14:textId="77777777" w:rsidR="00603A00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Wang (</w:t>
            </w:r>
            <w:proofErr w:type="gram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2018)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1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, Ahn (2013)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2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, Nguyen (2017)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3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, Afful (2022)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4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, Yang (2015)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5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, Mittal (2020)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6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</w:p>
        </w:tc>
        <w:tc>
          <w:tcPr>
            <w:tcW w:w="23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AFFEEED" w14:textId="77777777" w:rsidR="00603A00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Hama (</w:t>
            </w:r>
            <w:proofErr w:type="gram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2023)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7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</w:p>
        </w:tc>
      </w:tr>
      <w:tr w:rsidR="00603A00" w14:paraId="3318F9F5" w14:textId="77777777">
        <w:trPr>
          <w:trHeight w:val="20"/>
        </w:trPr>
        <w:tc>
          <w:tcPr>
            <w:tcW w:w="3325" w:type="dxa"/>
            <w:shd w:val="clear" w:color="auto" w:fill="auto"/>
            <w:vAlign w:val="center"/>
          </w:tcPr>
          <w:p w14:paraId="3399D485" w14:textId="77777777" w:rsidR="00603A00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Extra cost for technologies, certifications</w:t>
            </w:r>
          </w:p>
        </w:tc>
        <w:tc>
          <w:tcPr>
            <w:tcW w:w="3065" w:type="dxa"/>
            <w:shd w:val="clear" w:color="auto" w:fill="auto"/>
            <w:vAlign w:val="center"/>
          </w:tcPr>
          <w:p w14:paraId="2F7AB514" w14:textId="77777777" w:rsidR="00603A00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Nguyen (</w:t>
            </w:r>
            <w:proofErr w:type="gram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2017)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3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, Afful (2022)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4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, Wang (2021)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8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1181940A" w14:textId="77777777" w:rsidR="00603A00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Hama (</w:t>
            </w:r>
            <w:proofErr w:type="gram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2023)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7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, Macnaughton (2015)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9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</w:p>
        </w:tc>
      </w:tr>
      <w:tr w:rsidR="00603A00" w14:paraId="70824894" w14:textId="77777777">
        <w:trPr>
          <w:trHeight w:val="20"/>
        </w:trPr>
        <w:tc>
          <w:tcPr>
            <w:tcW w:w="3325" w:type="dxa"/>
            <w:shd w:val="clear" w:color="auto" w:fill="auto"/>
            <w:vAlign w:val="center"/>
          </w:tcPr>
          <w:p w14:paraId="6039F9ED" w14:textId="77777777" w:rsidR="00603A00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Cost benefits/ expenses during operation</w:t>
            </w:r>
          </w:p>
        </w:tc>
        <w:tc>
          <w:tcPr>
            <w:tcW w:w="3065" w:type="dxa"/>
            <w:shd w:val="clear" w:color="auto" w:fill="auto"/>
            <w:vAlign w:val="center"/>
          </w:tcPr>
          <w:p w14:paraId="2B35F5B4" w14:textId="77777777" w:rsidR="00603A00" w:rsidRDefault="00000000">
            <w:pPr>
              <w:spacing w:line="360" w:lineRule="auto"/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Nguyen (</w:t>
            </w:r>
            <w:proofErr w:type="gram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2017)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3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Ahn (2013)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10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,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Pandey (2017)</w:t>
            </w: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11</w:t>
            </w: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501FD6DA" w14:textId="77777777" w:rsidR="00603A00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Hama (</w:t>
            </w:r>
            <w:proofErr w:type="gram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2023)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7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</w:p>
        </w:tc>
      </w:tr>
      <w:tr w:rsidR="00603A00" w14:paraId="0BC3E95B" w14:textId="77777777">
        <w:trPr>
          <w:trHeight w:val="20"/>
        </w:trPr>
        <w:tc>
          <w:tcPr>
            <w:tcW w:w="3325" w:type="dxa"/>
            <w:shd w:val="clear" w:color="auto" w:fill="auto"/>
            <w:vAlign w:val="center"/>
          </w:tcPr>
          <w:p w14:paraId="5127385F" w14:textId="77777777" w:rsidR="00603A00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Market demand, Client’s interest</w:t>
            </w:r>
          </w:p>
        </w:tc>
        <w:tc>
          <w:tcPr>
            <w:tcW w:w="3065" w:type="dxa"/>
            <w:shd w:val="clear" w:color="auto" w:fill="auto"/>
            <w:vAlign w:val="center"/>
          </w:tcPr>
          <w:p w14:paraId="68AA6FD9" w14:textId="77777777" w:rsidR="00603A00" w:rsidRDefault="00000000">
            <w:pPr>
              <w:spacing w:line="360" w:lineRule="auto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Wang (</w:t>
            </w:r>
            <w:proofErr w:type="gram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2018)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1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, Nguyen (2017)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3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, Afful (2022)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4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, Mittal (2020)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6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Ahn (2013)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10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6D91C1C7" w14:textId="77777777" w:rsidR="00603A00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Hama (</w:t>
            </w:r>
            <w:proofErr w:type="gram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2023)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7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</w:p>
        </w:tc>
      </w:tr>
      <w:tr w:rsidR="00603A00" w14:paraId="0BCE4254" w14:textId="77777777">
        <w:trPr>
          <w:trHeight w:val="20"/>
        </w:trPr>
        <w:tc>
          <w:tcPr>
            <w:tcW w:w="3325" w:type="dxa"/>
            <w:shd w:val="clear" w:color="auto" w:fill="auto"/>
            <w:vAlign w:val="center"/>
          </w:tcPr>
          <w:p w14:paraId="75DBF77C" w14:textId="77777777" w:rsidR="00603A00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Branding and competitive advantages</w:t>
            </w:r>
          </w:p>
        </w:tc>
        <w:tc>
          <w:tcPr>
            <w:tcW w:w="3065" w:type="dxa"/>
            <w:shd w:val="clear" w:color="auto" w:fill="auto"/>
            <w:vAlign w:val="center"/>
          </w:tcPr>
          <w:p w14:paraId="12B24F6E" w14:textId="77777777" w:rsidR="00603A00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Nguyen (</w:t>
            </w:r>
            <w:proofErr w:type="gram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2017)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3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, Yang (2015)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5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5D9DDA58" w14:textId="77777777" w:rsidR="00603A00" w:rsidRDefault="00603A00">
            <w:pPr>
              <w:spacing w:line="36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</w:pPr>
          </w:p>
        </w:tc>
      </w:tr>
      <w:tr w:rsidR="00603A00" w14:paraId="47CCB3CB" w14:textId="77777777">
        <w:trPr>
          <w:trHeight w:val="20"/>
        </w:trPr>
        <w:tc>
          <w:tcPr>
            <w:tcW w:w="3325" w:type="dxa"/>
            <w:shd w:val="clear" w:color="auto" w:fill="auto"/>
            <w:vAlign w:val="center"/>
          </w:tcPr>
          <w:p w14:paraId="02D35AA0" w14:textId="77777777" w:rsidR="00603A00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Government incentives; incomplete/ confusing legal framework</w:t>
            </w:r>
          </w:p>
        </w:tc>
        <w:tc>
          <w:tcPr>
            <w:tcW w:w="3065" w:type="dxa"/>
            <w:shd w:val="clear" w:color="auto" w:fill="auto"/>
            <w:vAlign w:val="center"/>
          </w:tcPr>
          <w:p w14:paraId="014851E5" w14:textId="77777777" w:rsidR="00603A00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Wang (</w:t>
            </w:r>
            <w:proofErr w:type="gram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2018)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1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, Nguyen (2017)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3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, Afful (2022)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4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,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Yang (2015)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5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,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 xml:space="preserve"> Du Plessis (2007)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12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 xml:space="preserve"> 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4E7A6049" w14:textId="77777777" w:rsidR="00603A00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Hama (</w:t>
            </w:r>
            <w:proofErr w:type="gram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2023)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7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</w:p>
        </w:tc>
      </w:tr>
      <w:tr w:rsidR="00603A00" w14:paraId="11FC1CDB" w14:textId="77777777">
        <w:trPr>
          <w:trHeight w:val="20"/>
        </w:trPr>
        <w:tc>
          <w:tcPr>
            <w:tcW w:w="3325" w:type="dxa"/>
            <w:shd w:val="clear" w:color="auto" w:fill="auto"/>
            <w:vAlign w:val="center"/>
          </w:tcPr>
          <w:p w14:paraId="131A5355" w14:textId="77777777" w:rsidR="00603A00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Public awareness</w:t>
            </w:r>
          </w:p>
        </w:tc>
        <w:tc>
          <w:tcPr>
            <w:tcW w:w="3065" w:type="dxa"/>
            <w:shd w:val="clear" w:color="auto" w:fill="auto"/>
            <w:vAlign w:val="center"/>
          </w:tcPr>
          <w:p w14:paraId="73FB9C86" w14:textId="77777777" w:rsidR="00603A00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Wang (</w:t>
            </w:r>
            <w:proofErr w:type="gram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2018)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1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,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Ahn (2013)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2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, Nguyen (2017)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3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, Yang (2015)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5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16B0A6CF" w14:textId="77777777" w:rsidR="00603A00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</w:pP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Rodrigo (</w:t>
            </w:r>
            <w:proofErr w:type="gramStart"/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2018)</w:t>
            </w: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13</w:t>
            </w: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</w:p>
        </w:tc>
      </w:tr>
      <w:tr w:rsidR="00603A00" w14:paraId="43DE6229" w14:textId="77777777">
        <w:trPr>
          <w:trHeight w:val="20"/>
        </w:trPr>
        <w:tc>
          <w:tcPr>
            <w:tcW w:w="3325" w:type="dxa"/>
            <w:shd w:val="clear" w:color="auto" w:fill="auto"/>
            <w:vAlign w:val="center"/>
          </w:tcPr>
          <w:p w14:paraId="0FEBC63E" w14:textId="77777777" w:rsidR="00603A00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Inadequate/ available material; Lack of testing institute, measurement system, tool supplier</w:t>
            </w:r>
          </w:p>
        </w:tc>
        <w:tc>
          <w:tcPr>
            <w:tcW w:w="3065" w:type="dxa"/>
            <w:shd w:val="clear" w:color="auto" w:fill="auto"/>
            <w:vAlign w:val="center"/>
          </w:tcPr>
          <w:p w14:paraId="6320F357" w14:textId="77777777" w:rsidR="00603A00" w:rsidRDefault="00000000">
            <w:pPr>
              <w:spacing w:line="36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val="nl-N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nl-NL" w:eastAsia="ko-KR"/>
                <w14:ligatures w14:val="standardContextual"/>
              </w:rPr>
              <w:t>Wang (2018)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val="nl-NL"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:lang w:val="nl-NL"/>
                <w14:ligatures w14:val="standardContextual"/>
              </w:rPr>
              <w:t>1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val="nl-NL"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nl-NL" w:eastAsia="ko-KR"/>
                <w14:ligatures w14:val="standardContextual"/>
              </w:rPr>
              <w:t>, Nguyen (2017)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val="nl-NL"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:lang w:val="nl-NL"/>
                <w14:ligatures w14:val="standardContextual"/>
              </w:rPr>
              <w:t>3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val="nl-NL"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nl-NL" w:eastAsia="ko-KR"/>
                <w14:ligatures w14:val="standardContextual"/>
              </w:rPr>
              <w:t>, Afful (2022)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val="nl-NL"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:lang w:val="nl-NL"/>
                <w14:ligatures w14:val="standardContextual"/>
              </w:rPr>
              <w:t>4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val="nl-NL"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nl-NL" w:eastAsia="ko-KR"/>
                <w14:ligatures w14:val="standardContextual"/>
              </w:rPr>
              <w:t>,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nl-NL"/>
                <w14:ligatures w14:val="standardContextua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nl-NL" w:eastAsia="ko-KR"/>
                <w14:ligatures w14:val="standardContextual"/>
              </w:rPr>
              <w:t>Yang (2015)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val="nl-NL"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:lang w:val="nl-NL"/>
                <w14:ligatures w14:val="standardContextual"/>
              </w:rPr>
              <w:t>5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val="nl-NL" w:eastAsia="ko-KR"/>
                <w14:ligatures w14:val="standardContextual"/>
              </w:rPr>
              <w:t>]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nl-NL"/>
                <w14:ligatures w14:val="standardContextual"/>
              </w:rPr>
              <w:t>,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nl-NL" w:eastAsia="ko-KR"/>
                <w14:ligatures w14:val="standardContextual"/>
              </w:rPr>
              <w:t xml:space="preserve"> Wang (2021)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val="nl-NL"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:lang w:val="nl-NL"/>
                <w14:ligatures w14:val="standardContextual"/>
              </w:rPr>
              <w:t>8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val="nl-NL" w:eastAsia="ko-KR"/>
                <w14:ligatures w14:val="standardContextual"/>
              </w:rPr>
              <w:t>]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02244101" w14:textId="77777777" w:rsidR="00603A00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Hama (</w:t>
            </w:r>
            <w:proofErr w:type="gram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2023)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7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 xml:space="preserve">, </w:t>
            </w:r>
          </w:p>
        </w:tc>
      </w:tr>
      <w:tr w:rsidR="00603A00" w14:paraId="122C9FD2" w14:textId="77777777">
        <w:trPr>
          <w:trHeight w:val="20"/>
        </w:trPr>
        <w:tc>
          <w:tcPr>
            <w:tcW w:w="3325" w:type="dxa"/>
            <w:shd w:val="clear" w:color="auto" w:fill="auto"/>
            <w:vAlign w:val="center"/>
          </w:tcPr>
          <w:p w14:paraId="45688B79" w14:textId="77777777" w:rsidR="00603A00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lastRenderedPageBreak/>
              <w:t>Database and information requirements</w:t>
            </w:r>
          </w:p>
        </w:tc>
        <w:tc>
          <w:tcPr>
            <w:tcW w:w="3065" w:type="dxa"/>
            <w:shd w:val="clear" w:color="auto" w:fill="auto"/>
            <w:vAlign w:val="center"/>
          </w:tcPr>
          <w:p w14:paraId="56BB83DC" w14:textId="77777777" w:rsidR="00603A00" w:rsidRDefault="00000000">
            <w:pPr>
              <w:spacing w:line="360" w:lineRule="auto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Afful (</w:t>
            </w:r>
            <w:proofErr w:type="gram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2022)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4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, Du Plessis (2007)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12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72BE8621" w14:textId="77777777" w:rsidR="00603A00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Hama (</w:t>
            </w:r>
            <w:proofErr w:type="gram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2023)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7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, ASHRAE (2021)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14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 xml:space="preserve">, </w:t>
            </w: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Rodrigo (2018)</w:t>
            </w: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15</w:t>
            </w: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 xml:space="preserve">, Brittain </w:t>
            </w:r>
            <w:r>
              <w:rPr>
                <w:rFonts w:ascii="Times New Roman" w:eastAsia="Malgun Gothic" w:hAnsi="Times New Roman" w:cs="Times New Roman"/>
                <w:i/>
                <w:iCs/>
                <w:kern w:val="2"/>
                <w:sz w:val="24"/>
                <w:szCs w:val="24"/>
                <w:lang w:eastAsia="ko-KR"/>
                <w14:ligatures w14:val="standardContextual"/>
              </w:rPr>
              <w:t>et al</w:t>
            </w: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. (2020)</w:t>
            </w: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16</w:t>
            </w: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</w:p>
        </w:tc>
      </w:tr>
      <w:tr w:rsidR="00603A00" w14:paraId="074B3944" w14:textId="77777777">
        <w:trPr>
          <w:trHeight w:val="20"/>
        </w:trPr>
        <w:tc>
          <w:tcPr>
            <w:tcW w:w="3325" w:type="dxa"/>
            <w:shd w:val="clear" w:color="auto" w:fill="auto"/>
            <w:vAlign w:val="center"/>
          </w:tcPr>
          <w:p w14:paraId="54FBEA45" w14:textId="77777777" w:rsidR="00603A00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Site planning, outdoor pollution data</w:t>
            </w:r>
          </w:p>
        </w:tc>
        <w:tc>
          <w:tcPr>
            <w:tcW w:w="3065" w:type="dxa"/>
            <w:shd w:val="clear" w:color="auto" w:fill="auto"/>
            <w:vAlign w:val="center"/>
          </w:tcPr>
          <w:p w14:paraId="5F572EA2" w14:textId="77777777" w:rsidR="00603A00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WHO (</w:t>
            </w:r>
            <w:proofErr w:type="gram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2021)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17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 xml:space="preserve">, Kim </w:t>
            </w:r>
            <w:r>
              <w:rPr>
                <w:rFonts w:ascii="Times New Roman" w:eastAsia="Times New Roman" w:hAnsi="Times New Roman" w:cs="Times New Roman"/>
                <w:i/>
                <w:iCs/>
                <w:kern w:val="2"/>
                <w:sz w:val="24"/>
                <w:szCs w:val="24"/>
                <w:lang w:eastAsia="ko-KR"/>
                <w14:ligatures w14:val="standardContextual"/>
              </w:rPr>
              <w:t>et al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 xml:space="preserve"> (2016)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18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2EA4E753" w14:textId="77777777" w:rsidR="00603A00" w:rsidRDefault="00000000">
            <w:pPr>
              <w:spacing w:line="360" w:lineRule="auto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ASHRAE (</w:t>
            </w:r>
            <w:proofErr w:type="gram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2021)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14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 xml:space="preserve">, </w:t>
            </w: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Rodrigo (2018)</w:t>
            </w: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15</w:t>
            </w: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Ibrahim(2022)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19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, Gola (2019)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20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Settimo (2017)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21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</w:p>
        </w:tc>
      </w:tr>
      <w:tr w:rsidR="00603A00" w14:paraId="3FA277D7" w14:textId="77777777">
        <w:trPr>
          <w:trHeight w:val="20"/>
        </w:trPr>
        <w:tc>
          <w:tcPr>
            <w:tcW w:w="3325" w:type="dxa"/>
            <w:shd w:val="clear" w:color="auto" w:fill="auto"/>
            <w:vAlign w:val="center"/>
          </w:tcPr>
          <w:p w14:paraId="6BE09E92" w14:textId="77777777" w:rsidR="00603A00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 xml:space="preserve">Project planning, early-stage assessment design </w:t>
            </w:r>
          </w:p>
        </w:tc>
        <w:tc>
          <w:tcPr>
            <w:tcW w:w="3065" w:type="dxa"/>
            <w:shd w:val="clear" w:color="auto" w:fill="auto"/>
            <w:vAlign w:val="center"/>
          </w:tcPr>
          <w:p w14:paraId="23304213" w14:textId="77777777" w:rsidR="00603A00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Afful (</w:t>
            </w:r>
            <w:proofErr w:type="gram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2022)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4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, Northridge (2013)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22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 xml:space="preserve">, Hua </w:t>
            </w:r>
            <w:r>
              <w:rPr>
                <w:rFonts w:ascii="Times New Roman" w:eastAsia="Times New Roman" w:hAnsi="Times New Roman" w:cs="Times New Roman"/>
                <w:i/>
                <w:iCs/>
                <w:kern w:val="2"/>
                <w:sz w:val="24"/>
                <w:szCs w:val="24"/>
                <w:lang w:eastAsia="ko-KR"/>
                <w14:ligatures w14:val="standardContextual"/>
              </w:rPr>
              <w:t>et al.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 xml:space="preserve"> (2019)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23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0D639046" w14:textId="77777777" w:rsidR="00603A00" w:rsidRDefault="00000000">
            <w:pPr>
              <w:spacing w:line="360" w:lineRule="auto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 xml:space="preserve">, </w:t>
            </w: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 xml:space="preserve">Brittain </w:t>
            </w:r>
            <w:r>
              <w:rPr>
                <w:rFonts w:ascii="Times New Roman" w:eastAsia="Malgun Gothic" w:hAnsi="Times New Roman" w:cs="Times New Roman"/>
                <w:i/>
                <w:iCs/>
                <w:kern w:val="2"/>
                <w:sz w:val="24"/>
                <w:szCs w:val="24"/>
                <w:lang w:eastAsia="ko-KR"/>
                <w14:ligatures w14:val="standardContextual"/>
              </w:rPr>
              <w:t>et al.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(</w:t>
            </w:r>
            <w:proofErr w:type="gramStart"/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2020)</w:t>
            </w: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16</w:t>
            </w: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Settimo (2017)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21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</w:p>
        </w:tc>
      </w:tr>
      <w:tr w:rsidR="00603A00" w14:paraId="24D71875" w14:textId="77777777">
        <w:trPr>
          <w:trHeight w:val="20"/>
        </w:trPr>
        <w:tc>
          <w:tcPr>
            <w:tcW w:w="3325" w:type="dxa"/>
            <w:shd w:val="clear" w:color="auto" w:fill="auto"/>
            <w:vAlign w:val="center"/>
          </w:tcPr>
          <w:p w14:paraId="56DC459A" w14:textId="77777777" w:rsidR="00603A00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Conflict/ Compatible with design components (dimensional aspects, finishing and material)</w:t>
            </w:r>
          </w:p>
        </w:tc>
        <w:tc>
          <w:tcPr>
            <w:tcW w:w="3065" w:type="dxa"/>
            <w:shd w:val="clear" w:color="auto" w:fill="auto"/>
            <w:vAlign w:val="center"/>
          </w:tcPr>
          <w:p w14:paraId="5B66FE42" w14:textId="77777777" w:rsidR="00603A00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Wang (</w:t>
            </w:r>
            <w:proofErr w:type="gram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2018)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1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 xml:space="preserve">, Kim </w:t>
            </w:r>
            <w:r>
              <w:rPr>
                <w:rFonts w:ascii="Times New Roman" w:eastAsia="Times New Roman" w:hAnsi="Times New Roman" w:cs="Times New Roman"/>
                <w:i/>
                <w:iCs/>
                <w:kern w:val="2"/>
                <w:sz w:val="24"/>
                <w:szCs w:val="24"/>
                <w:lang w:eastAsia="ko-KR"/>
                <w14:ligatures w14:val="standardContextual"/>
              </w:rPr>
              <w:t>et al.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 xml:space="preserve"> (2016)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18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19351799" w14:textId="77777777" w:rsidR="00603A00" w:rsidRDefault="00000000">
            <w:pPr>
              <w:spacing w:line="360" w:lineRule="auto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 xml:space="preserve">ASHRAE (2021)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14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,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 xml:space="preserve">Brittain </w:t>
            </w:r>
            <w:r>
              <w:rPr>
                <w:rFonts w:ascii="Times New Roman" w:eastAsia="Malgun Gothic" w:hAnsi="Times New Roman" w:cs="Times New Roman"/>
                <w:i/>
                <w:iCs/>
                <w:kern w:val="2"/>
                <w:sz w:val="24"/>
                <w:szCs w:val="24"/>
                <w:lang w:eastAsia="ko-KR"/>
                <w14:ligatures w14:val="standardContextual"/>
              </w:rPr>
              <w:t>et al.</w:t>
            </w: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 xml:space="preserve"> (</w:t>
            </w:r>
            <w:proofErr w:type="gramStart"/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2020)</w:t>
            </w: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16</w:t>
            </w: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Ibrahim(2022)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19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, Gola (2019)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20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</w:p>
        </w:tc>
      </w:tr>
      <w:tr w:rsidR="00603A00" w14:paraId="74C0F8CA" w14:textId="77777777">
        <w:trPr>
          <w:trHeight w:val="20"/>
        </w:trPr>
        <w:tc>
          <w:tcPr>
            <w:tcW w:w="3325" w:type="dxa"/>
            <w:shd w:val="clear" w:color="auto" w:fill="auto"/>
            <w:vAlign w:val="center"/>
          </w:tcPr>
          <w:p w14:paraId="6AD20C1B" w14:textId="77777777" w:rsidR="00603A00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Collaborative integration between agencies/stakeholders; Communication and partnership</w:t>
            </w:r>
          </w:p>
        </w:tc>
        <w:tc>
          <w:tcPr>
            <w:tcW w:w="3065" w:type="dxa"/>
            <w:shd w:val="clear" w:color="auto" w:fill="auto"/>
            <w:vAlign w:val="center"/>
          </w:tcPr>
          <w:p w14:paraId="17274C37" w14:textId="77777777" w:rsidR="00603A00" w:rsidRDefault="00000000">
            <w:pPr>
              <w:spacing w:line="360" w:lineRule="auto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Nguyen (</w:t>
            </w:r>
            <w:proofErr w:type="gram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2017)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3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, Afful (2022)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4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, Yang (2015)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5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, Mittal (2020)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6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, Pandey (2017)</w:t>
            </w: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11</w:t>
            </w: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Du Plessis (2007)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12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59A39CBE" w14:textId="77777777" w:rsidR="00603A00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Hama (</w:t>
            </w:r>
            <w:proofErr w:type="gram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2023)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7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, ASHRAE (2021)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14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</w:p>
        </w:tc>
      </w:tr>
      <w:tr w:rsidR="00603A00" w14:paraId="6FF1911F" w14:textId="77777777">
        <w:trPr>
          <w:trHeight w:val="20"/>
        </w:trPr>
        <w:tc>
          <w:tcPr>
            <w:tcW w:w="3325" w:type="dxa"/>
            <w:shd w:val="clear" w:color="auto" w:fill="auto"/>
            <w:vAlign w:val="center"/>
          </w:tcPr>
          <w:p w14:paraId="2A15606F" w14:textId="77777777" w:rsidR="00603A00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Incremental risk and uncertainties in processes</w:t>
            </w:r>
          </w:p>
        </w:tc>
        <w:tc>
          <w:tcPr>
            <w:tcW w:w="3065" w:type="dxa"/>
            <w:shd w:val="clear" w:color="auto" w:fill="auto"/>
            <w:vAlign w:val="center"/>
          </w:tcPr>
          <w:p w14:paraId="11215054" w14:textId="77777777" w:rsidR="00603A00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Nguyen (</w:t>
            </w:r>
            <w:proofErr w:type="gram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2017)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3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, Wang (2021)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8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46135D5D" w14:textId="77777777" w:rsidR="00603A00" w:rsidRDefault="00603A00">
            <w:pPr>
              <w:spacing w:line="36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</w:pPr>
          </w:p>
        </w:tc>
      </w:tr>
      <w:tr w:rsidR="00603A00" w14:paraId="328763E0" w14:textId="77777777">
        <w:trPr>
          <w:trHeight w:val="20"/>
        </w:trPr>
        <w:tc>
          <w:tcPr>
            <w:tcW w:w="3325" w:type="dxa"/>
            <w:shd w:val="clear" w:color="auto" w:fill="auto"/>
            <w:vAlign w:val="center"/>
          </w:tcPr>
          <w:p w14:paraId="21595863" w14:textId="77777777" w:rsidR="00603A00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Technical understanding/ capacity and skills in designs, building, project team</w:t>
            </w:r>
          </w:p>
        </w:tc>
        <w:tc>
          <w:tcPr>
            <w:tcW w:w="3065" w:type="dxa"/>
            <w:shd w:val="clear" w:color="auto" w:fill="auto"/>
            <w:vAlign w:val="center"/>
          </w:tcPr>
          <w:p w14:paraId="7BA086D5" w14:textId="77777777" w:rsidR="00603A00" w:rsidRDefault="00000000">
            <w:pPr>
              <w:spacing w:line="360" w:lineRule="auto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Nguyen (</w:t>
            </w:r>
            <w:proofErr w:type="gram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2017)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3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, Afful (2022)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4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, Yang (2015)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5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, Mittal (2020)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6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,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 xml:space="preserve">Wang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lastRenderedPageBreak/>
              <w:t>(2021)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8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 xml:space="preserve">, </w:t>
            </w: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Pandey (2017)</w:t>
            </w: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11</w:t>
            </w: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Du Plessis (2007)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12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58619469" w14:textId="77777777" w:rsidR="00603A00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lastRenderedPageBreak/>
              <w:t>Hama (</w:t>
            </w:r>
            <w:proofErr w:type="gram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2023)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7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 xml:space="preserve">, </w:t>
            </w: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Rodrigo (2018)</w:t>
            </w: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24</w:t>
            </w: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 xml:space="preserve"> </w:t>
            </w:r>
          </w:p>
        </w:tc>
      </w:tr>
      <w:tr w:rsidR="00603A00" w14:paraId="1E783624" w14:textId="77777777">
        <w:trPr>
          <w:trHeight w:val="20"/>
        </w:trPr>
        <w:tc>
          <w:tcPr>
            <w:tcW w:w="3325" w:type="dxa"/>
            <w:shd w:val="clear" w:color="auto" w:fill="auto"/>
            <w:vAlign w:val="center"/>
          </w:tcPr>
          <w:p w14:paraId="0F0F5927" w14:textId="77777777" w:rsidR="00603A00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Education and training</w:t>
            </w:r>
          </w:p>
        </w:tc>
        <w:tc>
          <w:tcPr>
            <w:tcW w:w="3065" w:type="dxa"/>
            <w:shd w:val="clear" w:color="auto" w:fill="auto"/>
            <w:vAlign w:val="center"/>
          </w:tcPr>
          <w:p w14:paraId="5ADBD94D" w14:textId="77777777" w:rsidR="00603A00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Nguyen (</w:t>
            </w:r>
            <w:proofErr w:type="gram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2017)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3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, Afful (2022)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4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, Yang (2015)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5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Du Plessis (2007)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12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 xml:space="preserve">, 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3F2C384A" w14:textId="77777777" w:rsidR="00603A00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</w:pP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Rodrigo (</w:t>
            </w:r>
            <w:proofErr w:type="gramStart"/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2018)</w:t>
            </w: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15</w:t>
            </w: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Ibrahim(2022)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19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, Gola (2019)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20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 xml:space="preserve">, </w:t>
            </w:r>
          </w:p>
        </w:tc>
      </w:tr>
      <w:tr w:rsidR="00603A00" w14:paraId="45997939" w14:textId="77777777">
        <w:trPr>
          <w:trHeight w:val="20"/>
        </w:trPr>
        <w:tc>
          <w:tcPr>
            <w:tcW w:w="3325" w:type="dxa"/>
            <w:shd w:val="clear" w:color="auto" w:fill="auto"/>
            <w:vAlign w:val="center"/>
          </w:tcPr>
          <w:p w14:paraId="04C1D2F5" w14:textId="77777777" w:rsidR="00603A00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Local construction industry condition</w:t>
            </w:r>
          </w:p>
        </w:tc>
        <w:tc>
          <w:tcPr>
            <w:tcW w:w="3065" w:type="dxa"/>
            <w:shd w:val="clear" w:color="auto" w:fill="auto"/>
            <w:vAlign w:val="center"/>
          </w:tcPr>
          <w:p w14:paraId="1AC6A63F" w14:textId="77777777" w:rsidR="00603A00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Nguyen (</w:t>
            </w:r>
            <w:proofErr w:type="gram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2017)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3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 xml:space="preserve"> Kim </w:t>
            </w:r>
            <w:r>
              <w:rPr>
                <w:rFonts w:ascii="Times New Roman" w:eastAsia="Times New Roman" w:hAnsi="Times New Roman" w:cs="Times New Roman"/>
                <w:i/>
                <w:iCs/>
                <w:kern w:val="2"/>
                <w:sz w:val="24"/>
                <w:szCs w:val="24"/>
                <w:lang w:eastAsia="ko-KR"/>
                <w14:ligatures w14:val="standardContextual"/>
              </w:rPr>
              <w:t xml:space="preserve">et al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(2016)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18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51E47CED" w14:textId="77777777" w:rsidR="00603A00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</w:pP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Ratajczak (</w:t>
            </w:r>
            <w:proofErr w:type="gramStart"/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2022)</w:t>
            </w: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25</w:t>
            </w: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</w:p>
        </w:tc>
      </w:tr>
      <w:tr w:rsidR="00603A00" w14:paraId="2A5EFAE9" w14:textId="77777777">
        <w:trPr>
          <w:trHeight w:val="1512"/>
        </w:trPr>
        <w:tc>
          <w:tcPr>
            <w:tcW w:w="3325" w:type="dxa"/>
            <w:shd w:val="clear" w:color="auto" w:fill="auto"/>
            <w:vAlign w:val="center"/>
          </w:tcPr>
          <w:p w14:paraId="2BCC537A" w14:textId="77777777" w:rsidR="00603A00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Control method for Indoor pollutants (ventilation system, disinfectant activities, etc.)</w:t>
            </w:r>
          </w:p>
        </w:tc>
        <w:tc>
          <w:tcPr>
            <w:tcW w:w="3065" w:type="dxa"/>
            <w:shd w:val="clear" w:color="auto" w:fill="auto"/>
            <w:vAlign w:val="center"/>
          </w:tcPr>
          <w:p w14:paraId="58AB4C01" w14:textId="77777777" w:rsidR="00603A00" w:rsidRDefault="00603A00">
            <w:pPr>
              <w:spacing w:line="36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</w:pPr>
          </w:p>
        </w:tc>
        <w:tc>
          <w:tcPr>
            <w:tcW w:w="2335" w:type="dxa"/>
            <w:shd w:val="clear" w:color="auto" w:fill="auto"/>
            <w:vAlign w:val="center"/>
          </w:tcPr>
          <w:p w14:paraId="3E8FB6A7" w14:textId="77777777" w:rsidR="00603A00" w:rsidRDefault="00000000">
            <w:pPr>
              <w:spacing w:line="360" w:lineRule="auto"/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ASHRAE (</w:t>
            </w:r>
            <w:proofErr w:type="gram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2021)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14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,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Rodrigo (2018)</w:t>
            </w: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15</w:t>
            </w: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 xml:space="preserve">, Brittain </w:t>
            </w:r>
            <w:r>
              <w:rPr>
                <w:rFonts w:ascii="Times New Roman" w:eastAsia="Malgun Gothic" w:hAnsi="Times New Roman" w:cs="Times New Roman"/>
                <w:i/>
                <w:iCs/>
                <w:kern w:val="2"/>
                <w:sz w:val="24"/>
                <w:szCs w:val="24"/>
                <w:lang w:eastAsia="ko-KR"/>
                <w14:ligatures w14:val="standardContextual"/>
              </w:rPr>
              <w:t>et al</w:t>
            </w: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. (2020)</w:t>
            </w: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16</w:t>
            </w: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Ibrahim(2022)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19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, Gola (2019)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20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,  Shen (2023)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26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 xml:space="preserve">, </w:t>
            </w:r>
          </w:p>
        </w:tc>
      </w:tr>
      <w:tr w:rsidR="00603A00" w14:paraId="7360031E" w14:textId="77777777">
        <w:trPr>
          <w:trHeight w:val="20"/>
        </w:trPr>
        <w:tc>
          <w:tcPr>
            <w:tcW w:w="3325" w:type="dxa"/>
            <w:shd w:val="clear" w:color="auto" w:fill="auto"/>
            <w:vAlign w:val="center"/>
          </w:tcPr>
          <w:p w14:paraId="18CC991C" w14:textId="77777777" w:rsidR="00603A00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Effects of ventilation system on effectiveness, energy efficiency, and health, e.g.</w:t>
            </w:r>
          </w:p>
        </w:tc>
        <w:tc>
          <w:tcPr>
            <w:tcW w:w="3065" w:type="dxa"/>
            <w:shd w:val="clear" w:color="auto" w:fill="auto"/>
            <w:vAlign w:val="center"/>
          </w:tcPr>
          <w:p w14:paraId="7C1A8030" w14:textId="77777777" w:rsidR="00603A00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Aaltonen (</w:t>
            </w:r>
            <w:proofErr w:type="gram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2013)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28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1FB4BA69" w14:textId="77777777" w:rsidR="00603A00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Hama (</w:t>
            </w:r>
            <w:proofErr w:type="gram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2023)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7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, Macnaughton (2015)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9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 xml:space="preserve">, </w:t>
            </w: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Rodrigo (2018)</w:t>
            </w: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15</w:t>
            </w: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Settimo (2017)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21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, Gola (2019)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20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, Shen (2023)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26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 xml:space="preserve">, </w:t>
            </w: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Ratajczak (2022)</w:t>
            </w: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27</w:t>
            </w: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</w:p>
        </w:tc>
      </w:tr>
      <w:tr w:rsidR="00603A00" w14:paraId="3EDA41AB" w14:textId="77777777">
        <w:trPr>
          <w:trHeight w:val="20"/>
        </w:trPr>
        <w:tc>
          <w:tcPr>
            <w:tcW w:w="3325" w:type="dxa"/>
            <w:shd w:val="clear" w:color="auto" w:fill="auto"/>
            <w:vAlign w:val="center"/>
          </w:tcPr>
          <w:p w14:paraId="45647FD9" w14:textId="77777777" w:rsidR="00603A00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Technology adoption process and future legislation adaptability</w:t>
            </w:r>
          </w:p>
        </w:tc>
        <w:tc>
          <w:tcPr>
            <w:tcW w:w="3065" w:type="dxa"/>
            <w:shd w:val="clear" w:color="auto" w:fill="auto"/>
            <w:vAlign w:val="center"/>
          </w:tcPr>
          <w:p w14:paraId="3B897BAD" w14:textId="77777777" w:rsidR="00603A00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Yang (</w:t>
            </w:r>
            <w:proofErr w:type="gram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2015)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5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Du Plessis (2007)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12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Sepasgoza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 xml:space="preserve"> (2016)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29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 xml:space="preserve">, 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245A7F81" w14:textId="77777777" w:rsidR="00603A00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 xml:space="preserve">TCVN 13521:2022; </w:t>
            </w: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Rodrigo (</w:t>
            </w:r>
            <w:proofErr w:type="gramStart"/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2018)</w:t>
            </w: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15</w:t>
            </w: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Hai (2018)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30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 xml:space="preserve">, </w:t>
            </w:r>
          </w:p>
        </w:tc>
      </w:tr>
      <w:tr w:rsidR="00603A00" w14:paraId="2D7C65B0" w14:textId="77777777">
        <w:trPr>
          <w:trHeight w:val="1386"/>
        </w:trPr>
        <w:tc>
          <w:tcPr>
            <w:tcW w:w="3325" w:type="dxa"/>
            <w:shd w:val="clear" w:color="auto" w:fill="auto"/>
            <w:vAlign w:val="center"/>
          </w:tcPr>
          <w:p w14:paraId="561613BD" w14:textId="77777777" w:rsidR="00603A00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lastRenderedPageBreak/>
              <w:t>Building maintenance, operational strategy</w:t>
            </w:r>
          </w:p>
        </w:tc>
        <w:tc>
          <w:tcPr>
            <w:tcW w:w="3065" w:type="dxa"/>
            <w:shd w:val="clear" w:color="auto" w:fill="auto"/>
            <w:vAlign w:val="center"/>
          </w:tcPr>
          <w:p w14:paraId="2800129A" w14:textId="77777777" w:rsidR="00603A00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</w:pP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Pandey (</w:t>
            </w:r>
            <w:proofErr w:type="gramStart"/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2017)</w:t>
            </w: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11</w:t>
            </w: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Aaltonen (2013)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18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25D668BA" w14:textId="77777777" w:rsidR="00603A00" w:rsidRDefault="00000000">
            <w:pPr>
              <w:spacing w:line="360" w:lineRule="auto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ASHRAE (</w:t>
            </w:r>
            <w:proofErr w:type="gram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2021)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14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 xml:space="preserve">, </w:t>
            </w: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Rodrigo (2018)</w:t>
            </w: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15</w:t>
            </w: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Ibrahim(2022)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19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, Gola (2019)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20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 xml:space="preserve">,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Shen (2023)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26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</w:p>
        </w:tc>
      </w:tr>
      <w:tr w:rsidR="00603A00" w14:paraId="0033EDE5" w14:textId="77777777">
        <w:trPr>
          <w:trHeight w:val="20"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55DAAB" w14:textId="77777777" w:rsidR="00603A00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Medical activities, medical equipment, and room function</w:t>
            </w:r>
          </w:p>
        </w:tc>
        <w:tc>
          <w:tcPr>
            <w:tcW w:w="30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2A1C5" w14:textId="77777777" w:rsidR="00603A00" w:rsidRDefault="00603A00">
            <w:pPr>
              <w:spacing w:line="36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</w:pPr>
          </w:p>
        </w:tc>
        <w:tc>
          <w:tcPr>
            <w:tcW w:w="23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F4DFA0" w14:textId="77777777" w:rsidR="00603A00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</w:pP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Rodrigo (</w:t>
            </w:r>
            <w:proofErr w:type="gramStart"/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2018)</w:t>
            </w: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15</w:t>
            </w: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Ibrahim(2022)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19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, Gola (2019)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20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>, Shen (2023)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[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vertAlign w:val="superscript"/>
                <w14:ligatures w14:val="standardContextual"/>
              </w:rPr>
              <w:t>26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eastAsia="ko-KR"/>
                <w14:ligatures w14:val="standardContextual"/>
              </w:rPr>
              <w:t>]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  <w14:ligatures w14:val="standardContextual"/>
              </w:rPr>
              <w:t xml:space="preserve">, </w:t>
            </w:r>
          </w:p>
        </w:tc>
      </w:tr>
    </w:tbl>
    <w:p w14:paraId="0C47053F" w14:textId="77777777" w:rsidR="00603A00" w:rsidRDefault="00000000">
      <w:pPr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eastAsia="Malgun Gothic" w:hAnsi="Times New Roman" w:cs="Times New Roman"/>
          <w:kern w:val="2"/>
          <w:sz w:val="24"/>
          <w:szCs w:val="24"/>
          <w:lang w:eastAsia="ko-KR"/>
        </w:rPr>
        <w:t>GB: green building; IEQ: indoor environmental quality.</w:t>
      </w:r>
    </w:p>
    <w:p w14:paraId="3C7231E3" w14:textId="77777777" w:rsidR="00603A00" w:rsidRDefault="00603A00">
      <w:pPr>
        <w:rPr>
          <w:rFonts w:ascii="Times New Roman" w:hAnsi="Times New Roman" w:cs="Times New Roman"/>
          <w:sz w:val="24"/>
          <w:szCs w:val="24"/>
        </w:rPr>
      </w:pPr>
    </w:p>
    <w:p w14:paraId="60497A79" w14:textId="77777777" w:rsidR="00603A00" w:rsidRDefault="00000000">
      <w:pPr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2"/>
          <w:sz w:val="24"/>
          <w:szCs w:val="24"/>
        </w:rPr>
        <w:t>References</w:t>
      </w:r>
    </w:p>
    <w:p w14:paraId="2F9D480F" w14:textId="77777777" w:rsidR="00603A00" w:rsidRDefault="00000000">
      <w:pPr>
        <w:spacing w:line="360" w:lineRule="auto"/>
        <w:rPr>
          <w:rFonts w:ascii="Times New Roman" w:eastAsia="等线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Wang</w:t>
      </w:r>
      <w:r>
        <w:rPr>
          <w:rFonts w:ascii="Times New Roman" w:eastAsia="宋体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W, </w:t>
      </w:r>
      <w:proofErr w:type="spellStart"/>
      <w:r>
        <w:rPr>
          <w:rFonts w:ascii="Times New Roman" w:hAnsi="Times New Roman" w:cs="Times New Roman"/>
          <w:sz w:val="24"/>
          <w:szCs w:val="24"/>
        </w:rPr>
        <w:t>Pasquire</w:t>
      </w:r>
      <w:proofErr w:type="spellEnd"/>
      <w:r>
        <w:rPr>
          <w:rFonts w:ascii="Times New Roman" w:eastAsia="宋体" w:hAnsi="Times New Roman" w:cs="Times New Roman"/>
          <w:sz w:val="24"/>
          <w:szCs w:val="24"/>
          <w:lang w:val="en-US"/>
        </w:rPr>
        <w:t xml:space="preserve"> 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Pasquire</w:t>
      </w:r>
      <w:proofErr w:type="spellEnd"/>
      <w:r>
        <w:rPr>
          <w:rFonts w:ascii="Times New Roman" w:eastAsia="宋体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eastAsia="宋体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Factors for the adoption of green building specifications in China. Int J</w:t>
      </w:r>
      <w:r>
        <w:rPr>
          <w:rFonts w:ascii="Times New Roman" w:eastAsia="宋体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Build </w:t>
      </w:r>
      <w:proofErr w:type="spellStart"/>
      <w:r>
        <w:rPr>
          <w:rFonts w:ascii="Times New Roman" w:hAnsi="Times New Roman" w:cs="Times New Roman"/>
          <w:sz w:val="24"/>
          <w:szCs w:val="24"/>
        </w:rPr>
        <w:t>Pathol</w:t>
      </w:r>
      <w:proofErr w:type="spellEnd"/>
      <w:r>
        <w:rPr>
          <w:rFonts w:ascii="Times New Roman" w:eastAsia="宋体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Adapt</w:t>
      </w:r>
      <w:r>
        <w:rPr>
          <w:rFonts w:ascii="Times New Roman" w:eastAsia="宋体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2018</w:t>
      </w:r>
      <w:r>
        <w:rPr>
          <w:rFonts w:ascii="Times New Roman" w:eastAsia="宋体" w:hAnsi="Times New Roman" w:cs="Times New Roman"/>
          <w:sz w:val="24"/>
          <w:szCs w:val="24"/>
          <w:lang w:val="en-US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36(3):254-267. </w:t>
      </w:r>
      <w:r>
        <w:rPr>
          <w:rFonts w:ascii="Times New Roman" w:eastAsia="等线" w:hAnsi="Times New Roman" w:cs="Times New Roman"/>
          <w:sz w:val="24"/>
          <w:szCs w:val="24"/>
        </w:rPr>
        <w:t>[DOI:10.1108/IJBPA-06-2017-0027]</w:t>
      </w:r>
    </w:p>
    <w:p w14:paraId="7C0A9B70" w14:textId="77777777" w:rsidR="00603A00" w:rsidRDefault="0000000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2.Ahn YH, Pearce AR, Wang Y, Wang G. Drivers and barriers of sustainable design and construction: The perception of green building experience. Int J Sustainable Build </w:t>
      </w:r>
      <w:proofErr w:type="spellStart"/>
      <w:r>
        <w:rPr>
          <w:rFonts w:ascii="Times New Roman" w:hAnsi="Times New Roman" w:cs="Times New Roman"/>
          <w:sz w:val="24"/>
          <w:szCs w:val="24"/>
        </w:rPr>
        <w:t>Technol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Urban Dev. 2013;4(1):35-45. [DOI:10.1080/2093761X.2012.759887]</w:t>
      </w:r>
    </w:p>
    <w:p w14:paraId="5E30E8C7" w14:textId="77777777" w:rsidR="00603A00" w:rsidRDefault="0000000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3.Nguyen HT, </w:t>
      </w:r>
      <w:proofErr w:type="spellStart"/>
      <w:r>
        <w:rPr>
          <w:rFonts w:ascii="Times New Roman" w:hAnsi="Times New Roman" w:cs="Times New Roman"/>
          <w:sz w:val="24"/>
          <w:szCs w:val="24"/>
        </w:rPr>
        <w:t>Skitmore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M, Gray M, Zhang X, </w:t>
      </w:r>
      <w:proofErr w:type="spellStart"/>
      <w:r>
        <w:rPr>
          <w:rFonts w:ascii="Times New Roman" w:hAnsi="Times New Roman" w:cs="Times New Roman"/>
          <w:sz w:val="24"/>
          <w:szCs w:val="24"/>
        </w:rPr>
        <w:t>Olanipekunt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AO. Will green building development take off? An exploratory study of barriers to green building in Vietnam. </w:t>
      </w:r>
      <w:proofErr w:type="spellStart"/>
      <w:r>
        <w:rPr>
          <w:rFonts w:ascii="Times New Roman" w:hAnsi="Times New Roman" w:cs="Times New Roman"/>
          <w:sz w:val="24"/>
          <w:szCs w:val="24"/>
        </w:rPr>
        <w:t>Resour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Conserv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Recycl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2017;127:8</w:t>
      </w:r>
      <w:proofErr w:type="gramEnd"/>
      <w:r>
        <w:rPr>
          <w:rFonts w:ascii="Times New Roman" w:hAnsi="Times New Roman" w:cs="Times New Roman"/>
          <w:sz w:val="24"/>
          <w:szCs w:val="24"/>
        </w:rPr>
        <w:t>-20. [</w:t>
      </w:r>
      <w:proofErr w:type="gramStart"/>
      <w:r>
        <w:rPr>
          <w:rFonts w:ascii="Times New Roman" w:hAnsi="Times New Roman" w:cs="Times New Roman"/>
          <w:sz w:val="24"/>
          <w:szCs w:val="24"/>
        </w:rPr>
        <w:t>DOI:10.1016/j.resconrec</w:t>
      </w:r>
      <w:proofErr w:type="gramEnd"/>
      <w:r>
        <w:rPr>
          <w:rFonts w:ascii="Times New Roman" w:hAnsi="Times New Roman" w:cs="Times New Roman"/>
          <w:sz w:val="24"/>
          <w:szCs w:val="24"/>
        </w:rPr>
        <w:t>.2017.08.012]</w:t>
      </w:r>
    </w:p>
    <w:p w14:paraId="6E01BF47" w14:textId="77777777" w:rsidR="00603A00" w:rsidRDefault="0000000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4.Afful AE, </w:t>
      </w:r>
      <w:proofErr w:type="spellStart"/>
      <w:r>
        <w:rPr>
          <w:rFonts w:ascii="Times New Roman" w:hAnsi="Times New Roman" w:cs="Times New Roman"/>
          <w:sz w:val="24"/>
          <w:szCs w:val="24"/>
        </w:rPr>
        <w:t>Ayarkwa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J, Acquah GKK, Osei-</w:t>
      </w:r>
      <w:proofErr w:type="spellStart"/>
      <w:r>
        <w:rPr>
          <w:rFonts w:ascii="Times New Roman" w:hAnsi="Times New Roman" w:cs="Times New Roman"/>
          <w:sz w:val="24"/>
          <w:szCs w:val="24"/>
        </w:rPr>
        <w:t>Asibey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D, Osei </w:t>
      </w:r>
      <w:proofErr w:type="spellStart"/>
      <w:r>
        <w:rPr>
          <w:rFonts w:ascii="Times New Roman" w:hAnsi="Times New Roman" w:cs="Times New Roman"/>
          <w:sz w:val="24"/>
          <w:szCs w:val="24"/>
        </w:rPr>
        <w:t>Assibey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AAD. Barriers to incorporation of indoor environmental quality (IEQ) principles into building designs. Eng </w:t>
      </w:r>
      <w:proofErr w:type="spellStart"/>
      <w:r>
        <w:rPr>
          <w:rFonts w:ascii="Times New Roman" w:hAnsi="Times New Roman" w:cs="Times New Roman"/>
          <w:sz w:val="24"/>
          <w:szCs w:val="24"/>
        </w:rPr>
        <w:t>Constr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Archit Manag. 2023;30(6):2400-2419. [10.1108/ECAM-07-2021-0628]</w:t>
      </w:r>
    </w:p>
    <w:p w14:paraId="23AC5507" w14:textId="77777777" w:rsidR="00603A00" w:rsidRDefault="0000000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5.Yang J, Yang Z. Critical factors affecting the implementation of sustainable housing in Australia. J </w:t>
      </w:r>
      <w:proofErr w:type="spellStart"/>
      <w:r>
        <w:rPr>
          <w:rFonts w:ascii="Times New Roman" w:hAnsi="Times New Roman" w:cs="Times New Roman"/>
          <w:sz w:val="24"/>
          <w:szCs w:val="24"/>
        </w:rPr>
        <w:t>Hous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Built Environ. 2015;30(2):275-292. [DOI: 10.1007/s10901-014-9406-5]</w:t>
      </w:r>
    </w:p>
    <w:p w14:paraId="57BFFAF9" w14:textId="77777777" w:rsidR="00603A00" w:rsidRDefault="0000000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6.Mittal YK, Paul VK, Rostami A, Riley M, Sawhney A. Delay factors in construction of healthcare infrastructure projects: a comparison amongst developing countries.  Asian J </w:t>
      </w:r>
      <w:proofErr w:type="spellStart"/>
      <w:r>
        <w:rPr>
          <w:rFonts w:ascii="Times New Roman" w:hAnsi="Times New Roman" w:cs="Times New Roman"/>
          <w:sz w:val="24"/>
          <w:szCs w:val="24"/>
        </w:rPr>
        <w:t>Civ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Eng. </w:t>
      </w:r>
      <w:proofErr w:type="gramStart"/>
      <w:r>
        <w:rPr>
          <w:rFonts w:ascii="Times New Roman" w:hAnsi="Times New Roman" w:cs="Times New Roman"/>
          <w:sz w:val="24"/>
          <w:szCs w:val="24"/>
        </w:rPr>
        <w:t>2020;21:649</w:t>
      </w:r>
      <w:proofErr w:type="gramEnd"/>
      <w:r>
        <w:rPr>
          <w:rFonts w:ascii="Times New Roman" w:hAnsi="Times New Roman" w:cs="Times New Roman"/>
          <w:sz w:val="24"/>
          <w:szCs w:val="24"/>
        </w:rPr>
        <w:t>-661. [10.1007/s42107-020-00227-1]</w:t>
      </w:r>
    </w:p>
    <w:p w14:paraId="2968B521" w14:textId="77777777" w:rsidR="00603A00" w:rsidRDefault="0000000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7.Stockwell RE, Ballard EL, O'Rourke P, Knibbs LD, Morawska L, Bell SC. Indoor hospital air and the impact of ventilation on bioaerosols: A systematic review. J Hosp Infect. 2019;103(2):175-184. [</w:t>
      </w:r>
      <w:proofErr w:type="gramStart"/>
      <w:r>
        <w:rPr>
          <w:rFonts w:ascii="Times New Roman" w:hAnsi="Times New Roman" w:cs="Times New Roman"/>
          <w:sz w:val="24"/>
          <w:szCs w:val="24"/>
        </w:rPr>
        <w:t>DOI:10.1016/j.jhin</w:t>
      </w:r>
      <w:proofErr w:type="gramEnd"/>
      <w:r>
        <w:rPr>
          <w:rFonts w:ascii="Times New Roman" w:hAnsi="Times New Roman" w:cs="Times New Roman"/>
          <w:sz w:val="24"/>
          <w:szCs w:val="24"/>
        </w:rPr>
        <w:t>.2019.06.016]</w:t>
      </w:r>
    </w:p>
    <w:p w14:paraId="6500E0B2" w14:textId="77777777" w:rsidR="00603A00" w:rsidRDefault="0000000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8.Wang Y, Chong D, Liu X. Evaluating the critical barriers to green construction Technologies </w:t>
      </w:r>
      <w:proofErr w:type="spellStart"/>
      <w:r>
        <w:rPr>
          <w:rFonts w:ascii="Times New Roman" w:hAnsi="Times New Roman" w:cs="Times New Roman"/>
          <w:sz w:val="24"/>
          <w:szCs w:val="24"/>
        </w:rPr>
        <w:t>technologies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adoption in China. Sustainability. 2021;13(12):65110. [DOI: 10.3390/su13126510]</w:t>
      </w:r>
    </w:p>
    <w:p w14:paraId="4635FD0E" w14:textId="77777777" w:rsidR="00603A00" w:rsidRDefault="0000000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9.MacNaughton P, Pegues J, Satish U, Santanam S, Spengler J, Allen J. Economic, environmental and health implications of enhanced ventilation in office buildings. Int J Environ Res Public Health. 2015;12(11):14709-14722. [DOI:10.3390/ijerph121114709]</w:t>
      </w:r>
    </w:p>
    <w:p w14:paraId="5CFD2A2D" w14:textId="77777777" w:rsidR="00603A00" w:rsidRDefault="0000000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10.Ahn YH, Pearce AR, Wang Y, Wang G. Drivers and barriers of sustainable design and construction: The perception of green building experience. Int J Sustainable Build </w:t>
      </w:r>
      <w:proofErr w:type="spellStart"/>
      <w:r>
        <w:rPr>
          <w:rFonts w:ascii="Times New Roman" w:hAnsi="Times New Roman" w:cs="Times New Roman"/>
          <w:sz w:val="24"/>
          <w:szCs w:val="24"/>
        </w:rPr>
        <w:t>Technol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Urban Dev. 2013;4(1):35-45. [DOI:10.1080/2093761X.2012.759887]</w:t>
      </w:r>
    </w:p>
    <w:p w14:paraId="43ACCC82" w14:textId="63C7BB45" w:rsidR="00603A00" w:rsidRDefault="0000000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11.Pandey AK, Dixit S, Bansal S, </w:t>
      </w:r>
      <w:proofErr w:type="spellStart"/>
      <w:r>
        <w:rPr>
          <w:rFonts w:ascii="Times New Roman" w:hAnsi="Times New Roman" w:cs="Times New Roman"/>
          <w:sz w:val="24"/>
          <w:szCs w:val="24"/>
        </w:rPr>
        <w:t>Saproo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S, Mandal SN. Optimize the infrastructure design of hospital construction projects to manage hassle free services. Int J </w:t>
      </w:r>
      <w:proofErr w:type="spellStart"/>
      <w:r>
        <w:rPr>
          <w:rFonts w:ascii="Times New Roman" w:hAnsi="Times New Roman" w:cs="Times New Roman"/>
          <w:sz w:val="24"/>
          <w:szCs w:val="24"/>
        </w:rPr>
        <w:t>Civ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Eng Technol. 2017;8(10):87-98. Available from: </w:t>
      </w:r>
      <w:r w:rsidR="00453639" w:rsidRPr="00453639">
        <w:rPr>
          <w:rFonts w:ascii="Times New Roman" w:hAnsi="Times New Roman" w:cs="Times New Roman" w:hint="eastAsia"/>
          <w:sz w:val="24"/>
          <w:szCs w:val="24"/>
        </w:rPr>
        <w:t>https://iaeme.com/MasterAdmin/Journal_uploads/IJCIET/VOLUME_8_ISSUE_10/IJCIET_08_10_011.pdf</w:t>
      </w:r>
      <w:r w:rsidR="00453639" w:rsidDel="00453639">
        <w:t xml:space="preserve"> </w:t>
      </w:r>
    </w:p>
    <w:p w14:paraId="20E7AC43" w14:textId="77777777" w:rsidR="00603A00" w:rsidRDefault="0000000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12.Plessis CD. A strategic framework for sustainable construction in developing countries. </w:t>
      </w:r>
      <w:proofErr w:type="spellStart"/>
      <w:r>
        <w:rPr>
          <w:rFonts w:ascii="Times New Roman" w:hAnsi="Times New Roman" w:cs="Times New Roman"/>
          <w:sz w:val="24"/>
          <w:szCs w:val="24"/>
        </w:rPr>
        <w:t>Constr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Manage Econ. 2007;25(1):67-76. [DOI:10.1080/01446190600601313]</w:t>
      </w:r>
    </w:p>
    <w:p w14:paraId="113FEC6D" w14:textId="77777777" w:rsidR="00603A00" w:rsidRDefault="0000000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13.Rodrigo MNN, Kosala Y, Perera B, </w:t>
      </w:r>
      <w:proofErr w:type="spellStart"/>
      <w:r>
        <w:rPr>
          <w:rFonts w:ascii="Times New Roman" w:hAnsi="Times New Roman" w:cs="Times New Roman"/>
          <w:sz w:val="24"/>
          <w:szCs w:val="24"/>
        </w:rPr>
        <w:t>Dalugoda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C. Mitigation of hospital acquired infections in developing countries through the provision of a better IAQ. Eng J Inst Eng Sri Lanka. 2018;51(1):39-48. [DOI:10.4038/</w:t>
      </w:r>
      <w:proofErr w:type="gramStart"/>
      <w:r>
        <w:rPr>
          <w:rFonts w:ascii="Times New Roman" w:hAnsi="Times New Roman" w:cs="Times New Roman"/>
          <w:sz w:val="24"/>
          <w:szCs w:val="24"/>
        </w:rPr>
        <w:t>engineer.v</w:t>
      </w:r>
      <w:proofErr w:type="gramEnd"/>
      <w:r>
        <w:rPr>
          <w:rFonts w:ascii="Times New Roman" w:hAnsi="Times New Roman" w:cs="Times New Roman"/>
          <w:sz w:val="24"/>
          <w:szCs w:val="24"/>
        </w:rPr>
        <w:t>51i1.7286]</w:t>
      </w:r>
    </w:p>
    <w:p w14:paraId="49B0425A" w14:textId="00682D52" w:rsidR="00603A00" w:rsidRDefault="0000000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14.ASHRAE [Internet]. Atlanta: The Association. Available from: </w:t>
      </w:r>
      <w:r w:rsidR="00453639" w:rsidRPr="00453639">
        <w:rPr>
          <w:rFonts w:ascii="Times New Roman" w:hAnsi="Times New Roman" w:cs="Times New Roman" w:hint="eastAsia"/>
          <w:sz w:val="24"/>
          <w:szCs w:val="24"/>
        </w:rPr>
        <w:t>https://www.ashrae.org</w:t>
      </w:r>
      <w:r w:rsidR="00453639" w:rsidDel="00453639">
        <w:t xml:space="preserve"> </w:t>
      </w:r>
    </w:p>
    <w:p w14:paraId="7FF4923E" w14:textId="77777777" w:rsidR="00603A00" w:rsidRDefault="0000000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15.Rodrigo MNN, Kosala Y, Perera B, </w:t>
      </w:r>
      <w:proofErr w:type="spellStart"/>
      <w:r>
        <w:rPr>
          <w:rFonts w:ascii="Times New Roman" w:hAnsi="Times New Roman" w:cs="Times New Roman"/>
          <w:sz w:val="24"/>
          <w:szCs w:val="24"/>
        </w:rPr>
        <w:t>Dalugoda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C. Mitigation of hospital acquired infections in developing countries through the provision of a better IAQ. Eng J Inst Eng Sri Lanka. 2018;51(1):39-48. [DOI:10.4038/</w:t>
      </w:r>
      <w:proofErr w:type="gramStart"/>
      <w:r>
        <w:rPr>
          <w:rFonts w:ascii="Times New Roman" w:hAnsi="Times New Roman" w:cs="Times New Roman"/>
          <w:sz w:val="24"/>
          <w:szCs w:val="24"/>
        </w:rPr>
        <w:t>engineer.v</w:t>
      </w:r>
      <w:proofErr w:type="gramEnd"/>
      <w:r>
        <w:rPr>
          <w:rFonts w:ascii="Times New Roman" w:hAnsi="Times New Roman" w:cs="Times New Roman"/>
          <w:sz w:val="24"/>
          <w:szCs w:val="24"/>
        </w:rPr>
        <w:t>51i1.7286]</w:t>
      </w:r>
    </w:p>
    <w:p w14:paraId="720637B8" w14:textId="77777777" w:rsidR="00603A00" w:rsidRDefault="0000000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16.Sloan Brittain O, Wood H, Kumar P. Prioritising indoor air quality in building design can mitigate future airborne viral outbreaks. Cities Health. 2021;5(sup1): S162-S165. [DOI:10.1080/23748834.2020.1786652]</w:t>
      </w:r>
    </w:p>
    <w:p w14:paraId="40796388" w14:textId="379F61CE" w:rsidR="00603A00" w:rsidRPr="00FD0D80" w:rsidRDefault="0000000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D0D80">
        <w:rPr>
          <w:rFonts w:ascii="Times New Roman" w:hAnsi="Times New Roman" w:cs="Times New Roman"/>
          <w:sz w:val="24"/>
          <w:szCs w:val="24"/>
        </w:rPr>
        <w:t>17.World Health Organization. WHO global air quality guidelines: particulate matter (PM</w:t>
      </w:r>
      <w:proofErr w:type="gramStart"/>
      <w:r w:rsidRPr="00FD0D80">
        <w:rPr>
          <w:rFonts w:ascii="Times New Roman" w:hAnsi="Times New Roman" w:cs="Times New Roman"/>
          <w:sz w:val="24"/>
          <w:szCs w:val="24"/>
        </w:rPr>
        <w:t>₂.₅</w:t>
      </w:r>
      <w:proofErr w:type="gramEnd"/>
      <w:r w:rsidRPr="00FD0D80">
        <w:rPr>
          <w:rFonts w:ascii="Times New Roman" w:hAnsi="Times New Roman" w:cs="Times New Roman"/>
          <w:sz w:val="24"/>
          <w:szCs w:val="24"/>
        </w:rPr>
        <w:t xml:space="preserve"> and PM₁₀), ozone, nitrogen dioxide, </w:t>
      </w:r>
      <w:proofErr w:type="spellStart"/>
      <w:r w:rsidRPr="00FD0D80">
        <w:rPr>
          <w:rFonts w:ascii="Times New Roman" w:hAnsi="Times New Roman" w:cs="Times New Roman"/>
          <w:sz w:val="24"/>
          <w:szCs w:val="24"/>
        </w:rPr>
        <w:t>sulfur</w:t>
      </w:r>
      <w:proofErr w:type="spellEnd"/>
      <w:r w:rsidRPr="00FD0D80">
        <w:rPr>
          <w:rFonts w:ascii="Times New Roman" w:hAnsi="Times New Roman" w:cs="Times New Roman"/>
          <w:sz w:val="24"/>
          <w:szCs w:val="24"/>
        </w:rPr>
        <w:t xml:space="preserve"> dioxide and carbon monoxide. Geneva: </w:t>
      </w:r>
      <w:r w:rsidRPr="00FD0D80">
        <w:rPr>
          <w:rFonts w:ascii="Times New Roman" w:hAnsi="Times New Roman" w:cs="Times New Roman"/>
          <w:sz w:val="24"/>
          <w:szCs w:val="24"/>
        </w:rPr>
        <w:lastRenderedPageBreak/>
        <w:t>World Health Organization; 2021. Available from: https://www.who.int/publications/i/item/9789240034228</w:t>
      </w:r>
    </w:p>
    <w:p w14:paraId="5ECCD308" w14:textId="77777777" w:rsidR="00603A00" w:rsidRDefault="0000000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18.Kim SY, Tuan KN, Luu VT. Delay factor analysis for hospital projects in Vietnam. KSCE J </w:t>
      </w:r>
      <w:proofErr w:type="spellStart"/>
      <w:r>
        <w:rPr>
          <w:rFonts w:ascii="Times New Roman" w:hAnsi="Times New Roman" w:cs="Times New Roman"/>
          <w:sz w:val="24"/>
          <w:szCs w:val="24"/>
        </w:rPr>
        <w:t>Civ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Eng. 2016;20(2): 519-529. [DOI:10.1007/s12205-015-0316-1]</w:t>
      </w:r>
    </w:p>
    <w:p w14:paraId="2C60BA19" w14:textId="77777777" w:rsidR="00603A00" w:rsidRDefault="0000000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19.Ibrahim F, Samsudin EZ, Ishak AR, Sathasivam J. Hospital indoor air quality and its relationships with building design, building operation, and occupant-related factors: A mini-review. Front Public Health. </w:t>
      </w:r>
      <w:proofErr w:type="gramStart"/>
      <w:r>
        <w:rPr>
          <w:rFonts w:ascii="Times New Roman" w:hAnsi="Times New Roman" w:cs="Times New Roman"/>
          <w:sz w:val="24"/>
          <w:szCs w:val="24"/>
        </w:rPr>
        <w:t>2022;10:1067764</w:t>
      </w:r>
      <w:proofErr w:type="gramEnd"/>
      <w:r>
        <w:rPr>
          <w:rFonts w:ascii="Times New Roman" w:hAnsi="Times New Roman" w:cs="Times New Roman"/>
          <w:sz w:val="24"/>
          <w:szCs w:val="24"/>
        </w:rPr>
        <w:t>. [DOI: 10.3389/fpubh.2022.1067764]</w:t>
      </w:r>
    </w:p>
    <w:p w14:paraId="26126BBE" w14:textId="77777777" w:rsidR="00603A00" w:rsidRDefault="0000000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20.Gola M, Settimo G, Capolongo S. Indoor air quality in inpatient environments: a systematic review on factors that influence chemical pollution in inpatient wards. J </w:t>
      </w:r>
      <w:proofErr w:type="spellStart"/>
      <w:r>
        <w:rPr>
          <w:rFonts w:ascii="Times New Roman" w:hAnsi="Times New Roman" w:cs="Times New Roman"/>
          <w:sz w:val="24"/>
          <w:szCs w:val="24"/>
        </w:rPr>
        <w:t>Healthc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Eng. </w:t>
      </w:r>
      <w:proofErr w:type="gramStart"/>
      <w:r>
        <w:rPr>
          <w:rFonts w:ascii="Times New Roman" w:hAnsi="Times New Roman" w:cs="Times New Roman"/>
          <w:sz w:val="24"/>
          <w:szCs w:val="24"/>
        </w:rPr>
        <w:t>2019;2019:8358306</w:t>
      </w:r>
      <w:proofErr w:type="gramEnd"/>
      <w:r>
        <w:rPr>
          <w:rFonts w:ascii="Times New Roman" w:hAnsi="Times New Roman" w:cs="Times New Roman"/>
          <w:sz w:val="24"/>
          <w:szCs w:val="24"/>
        </w:rPr>
        <w:t>. [DOI:10.1155/2019/8358306]</w:t>
      </w:r>
    </w:p>
    <w:p w14:paraId="3246CB61" w14:textId="77777777" w:rsidR="00603A00" w:rsidRDefault="0000000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21.Settimo G. Existing guidelines for indoor air quality: the case study of hospital environments. In: Capolongo S, Settimo G, Gola M, editors. Indoor Air Quality in Healthcare Facilities. Cham: Springer; 2017. p. 13-26. [DOI: 10.1007/978-3-319-49160-8_2]</w:t>
      </w:r>
    </w:p>
    <w:p w14:paraId="3350C469" w14:textId="77777777" w:rsidR="00603A00" w:rsidRDefault="0000000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22.Northridge ME, Sclar ED, Biswas P. Sorting out the connections between the built environment and health: A conceptual framework for navigating pathways and planning healthy cities. J Urban Health. 2003;80(4):556-568. [DOI:10.1093/</w:t>
      </w:r>
      <w:proofErr w:type="spellStart"/>
      <w:r>
        <w:rPr>
          <w:rFonts w:ascii="Times New Roman" w:hAnsi="Times New Roman" w:cs="Times New Roman"/>
          <w:sz w:val="24"/>
          <w:szCs w:val="24"/>
        </w:rPr>
        <w:t>jurban</w:t>
      </w:r>
      <w:proofErr w:type="spellEnd"/>
      <w:r>
        <w:rPr>
          <w:rFonts w:ascii="Times New Roman" w:hAnsi="Times New Roman" w:cs="Times New Roman"/>
          <w:sz w:val="24"/>
          <w:szCs w:val="24"/>
        </w:rPr>
        <w:t>/jtg064]</w:t>
      </w:r>
    </w:p>
    <w:p w14:paraId="64046E70" w14:textId="77777777" w:rsidR="00603A00" w:rsidRDefault="0000000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23.Huo X, Ann TW, Darko A, Wu Z. Critical factors in site planning and design of green buildings: A case of China. J Cleaner Prod. </w:t>
      </w:r>
      <w:proofErr w:type="gramStart"/>
      <w:r>
        <w:rPr>
          <w:rFonts w:ascii="Times New Roman" w:hAnsi="Times New Roman" w:cs="Times New Roman"/>
          <w:sz w:val="24"/>
          <w:szCs w:val="24"/>
        </w:rPr>
        <w:t>2019;222:685</w:t>
      </w:r>
      <w:proofErr w:type="gramEnd"/>
      <w:r>
        <w:rPr>
          <w:rFonts w:ascii="Times New Roman" w:hAnsi="Times New Roman" w:cs="Times New Roman"/>
          <w:sz w:val="24"/>
          <w:szCs w:val="24"/>
        </w:rPr>
        <w:t>-694. [</w:t>
      </w:r>
      <w:proofErr w:type="gramStart"/>
      <w:r>
        <w:rPr>
          <w:rFonts w:ascii="Times New Roman" w:hAnsi="Times New Roman" w:cs="Times New Roman"/>
          <w:sz w:val="24"/>
          <w:szCs w:val="24"/>
        </w:rPr>
        <w:t>DOI:10.1016/j.jclepro</w:t>
      </w:r>
      <w:proofErr w:type="gramEnd"/>
      <w:r>
        <w:rPr>
          <w:rFonts w:ascii="Times New Roman" w:hAnsi="Times New Roman" w:cs="Times New Roman"/>
          <w:sz w:val="24"/>
          <w:szCs w:val="24"/>
        </w:rPr>
        <w:t>.2019.03.123]</w:t>
      </w:r>
    </w:p>
    <w:p w14:paraId="0061B703" w14:textId="77777777" w:rsidR="00603A00" w:rsidRDefault="0000000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24.Rodrigo MNN, Kosala Y, Perera B, </w:t>
      </w:r>
      <w:proofErr w:type="spellStart"/>
      <w:r>
        <w:rPr>
          <w:rFonts w:ascii="Times New Roman" w:hAnsi="Times New Roman" w:cs="Times New Roman"/>
          <w:sz w:val="24"/>
          <w:szCs w:val="24"/>
        </w:rPr>
        <w:t>Dalugoda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C. Mitigation of hospital acquired infections in developing countries through the provision of a better IAQ. Eng J Inst Eng Sri Lanka. 2018;51(1):39-48. [DOI:10.4038/</w:t>
      </w:r>
      <w:proofErr w:type="gramStart"/>
      <w:r>
        <w:rPr>
          <w:rFonts w:ascii="Times New Roman" w:hAnsi="Times New Roman" w:cs="Times New Roman"/>
          <w:sz w:val="24"/>
          <w:szCs w:val="24"/>
        </w:rPr>
        <w:t>engineer.v</w:t>
      </w:r>
      <w:proofErr w:type="gramEnd"/>
      <w:r>
        <w:rPr>
          <w:rFonts w:ascii="Times New Roman" w:hAnsi="Times New Roman" w:cs="Times New Roman"/>
          <w:sz w:val="24"/>
          <w:szCs w:val="24"/>
        </w:rPr>
        <w:t>51i1.7286]</w:t>
      </w:r>
    </w:p>
    <w:p w14:paraId="620AE70A" w14:textId="77777777" w:rsidR="00603A00" w:rsidRDefault="0000000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25.Ratajczak K. Ventilation strategy for proper IAQ in existing nurseries buildings-lesson learned from the research during COVID-19 pandemic. Aerosol Air Qual Res. 2022; 22(3):210337. [DOI:10.4209/aaqr.210337]</w:t>
      </w:r>
    </w:p>
    <w:p w14:paraId="4A4D5513" w14:textId="77777777" w:rsidR="00603A00" w:rsidRDefault="0000000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26.Shen X, Zhang H, Li Y, Qu K, Zhao L, Kong G, et al. Building a satisfactory indoor environment for healthcare facility occupants: A literature review. Build Environ. </w:t>
      </w:r>
      <w:proofErr w:type="gramStart"/>
      <w:r>
        <w:rPr>
          <w:rFonts w:ascii="Times New Roman" w:hAnsi="Times New Roman" w:cs="Times New Roman"/>
          <w:sz w:val="24"/>
          <w:szCs w:val="24"/>
        </w:rPr>
        <w:t>2023;228:109861</w:t>
      </w:r>
      <w:proofErr w:type="gramEnd"/>
      <w:r>
        <w:rPr>
          <w:rFonts w:ascii="Times New Roman" w:hAnsi="Times New Roman" w:cs="Times New Roman"/>
          <w:sz w:val="24"/>
          <w:szCs w:val="24"/>
        </w:rPr>
        <w:t>. [</w:t>
      </w:r>
      <w:proofErr w:type="gramStart"/>
      <w:r>
        <w:rPr>
          <w:rFonts w:ascii="Times New Roman" w:hAnsi="Times New Roman" w:cs="Times New Roman"/>
          <w:sz w:val="24"/>
          <w:szCs w:val="24"/>
        </w:rPr>
        <w:t>DOI:10.1016/j.buildenv</w:t>
      </w:r>
      <w:proofErr w:type="gramEnd"/>
      <w:r>
        <w:rPr>
          <w:rFonts w:ascii="Times New Roman" w:hAnsi="Times New Roman" w:cs="Times New Roman"/>
          <w:sz w:val="24"/>
          <w:szCs w:val="24"/>
        </w:rPr>
        <w:t>.2022.109861]</w:t>
      </w:r>
    </w:p>
    <w:p w14:paraId="5D694310" w14:textId="77777777" w:rsidR="00603A00" w:rsidRDefault="0000000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27.Ratajczak K. Ventilation strategy for proper IAQ in existing nurseries buildings-lesson learned from the research during COVID-19 pandemic. Aerosol Air Qual Res. 2022; 22(3):210337. [DOI:10.4209/aaqr.210337]</w:t>
      </w:r>
    </w:p>
    <w:p w14:paraId="1695F9EE" w14:textId="77777777" w:rsidR="00603A00" w:rsidRDefault="0000000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28.Aaltonen A, Määttänen E, Kyrö R, </w:t>
      </w:r>
      <w:proofErr w:type="spellStart"/>
      <w:r>
        <w:rPr>
          <w:rFonts w:ascii="Times New Roman" w:hAnsi="Times New Roman" w:cs="Times New Roman"/>
          <w:sz w:val="24"/>
          <w:szCs w:val="24"/>
        </w:rPr>
        <w:t>Sarasoja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AL. Facilities management driving green building certification: a case from Finland. Facilities. 2013,31(7/8):328-342. [DOI:10.1108/02632771311317475]</w:t>
      </w:r>
    </w:p>
    <w:p w14:paraId="566DC76F" w14:textId="77777777" w:rsidR="00603A00" w:rsidRDefault="0000000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29.Sepasgozar SME, Loosemore M, Davis SR., Conceptualising information and equipment technology adoption in construction. Eng </w:t>
      </w:r>
      <w:proofErr w:type="spellStart"/>
      <w:r>
        <w:rPr>
          <w:rFonts w:ascii="Times New Roman" w:hAnsi="Times New Roman" w:cs="Times New Roman"/>
          <w:sz w:val="24"/>
          <w:szCs w:val="24"/>
        </w:rPr>
        <w:t>Constr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Archit Manag. 2016;23(2):158-176.</w:t>
      </w:r>
    </w:p>
    <w:p w14:paraId="5EAD18C5" w14:textId="77777777" w:rsidR="00603A00" w:rsidRDefault="0000000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30.Hai ND, Thy LL, Chanh DN. Prevalence of sick building syndrome-related factors among hospital workers at University Medical </w:t>
      </w:r>
      <w:proofErr w:type="spellStart"/>
      <w:r>
        <w:rPr>
          <w:rFonts w:ascii="Times New Roman" w:hAnsi="Times New Roman" w:cs="Times New Roman"/>
          <w:sz w:val="24"/>
          <w:szCs w:val="24"/>
        </w:rPr>
        <w:t>Center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Ho Chi Minh City, Vietnam. Med Pharm Res. 2018;2(2):1-4. [DOI: 10.32895/UMP.MPR.2.2.1]</w:t>
      </w:r>
    </w:p>
    <w:sectPr w:rsidR="00603A00">
      <w:pgSz w:w="12240" w:h="15840"/>
      <w:pgMar w:top="1440" w:right="1800" w:bottom="1440" w:left="1800" w:header="706" w:footer="7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104CF0" w14:textId="77777777" w:rsidR="003219A0" w:rsidRDefault="003219A0" w:rsidP="00FD0D80">
      <w:pPr>
        <w:rPr>
          <w:rFonts w:hint="eastAsia"/>
        </w:rPr>
      </w:pPr>
      <w:r>
        <w:separator/>
      </w:r>
    </w:p>
  </w:endnote>
  <w:endnote w:type="continuationSeparator" w:id="0">
    <w:p w14:paraId="313CB654" w14:textId="77777777" w:rsidR="003219A0" w:rsidRDefault="003219A0" w:rsidP="00FD0D8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4261E3" w14:textId="77777777" w:rsidR="003219A0" w:rsidRDefault="003219A0" w:rsidP="00FD0D80">
      <w:pPr>
        <w:rPr>
          <w:rFonts w:hint="eastAsia"/>
        </w:rPr>
      </w:pPr>
      <w:r>
        <w:separator/>
      </w:r>
    </w:p>
  </w:footnote>
  <w:footnote w:type="continuationSeparator" w:id="0">
    <w:p w14:paraId="55A669D6" w14:textId="77777777" w:rsidR="003219A0" w:rsidRDefault="003219A0" w:rsidP="00FD0D80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0943"/>
    <w:rsid w:val="000D12A5"/>
    <w:rsid w:val="000F7DC7"/>
    <w:rsid w:val="001D0943"/>
    <w:rsid w:val="00254980"/>
    <w:rsid w:val="003219A0"/>
    <w:rsid w:val="00350FD1"/>
    <w:rsid w:val="003B2A42"/>
    <w:rsid w:val="00453639"/>
    <w:rsid w:val="00603A00"/>
    <w:rsid w:val="00633490"/>
    <w:rsid w:val="006D4BE2"/>
    <w:rsid w:val="0071587F"/>
    <w:rsid w:val="00824A47"/>
    <w:rsid w:val="00840359"/>
    <w:rsid w:val="00934E33"/>
    <w:rsid w:val="00A11667"/>
    <w:rsid w:val="00C16B3C"/>
    <w:rsid w:val="00C81966"/>
    <w:rsid w:val="00CA71FB"/>
    <w:rsid w:val="00D32070"/>
    <w:rsid w:val="00E44CFC"/>
    <w:rsid w:val="00E56456"/>
    <w:rsid w:val="00EB0DF7"/>
    <w:rsid w:val="00F51F16"/>
    <w:rsid w:val="00FD0D80"/>
    <w:rsid w:val="4AF94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945C73"/>
  <w15:docId w15:val="{A6D3B9C5-C7E8-4971-B212-4A0EB1146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jc w:val="both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pPr>
      <w:keepNext/>
      <w:keepLines/>
      <w:widowControl w:val="0"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8"/>
      <w:szCs w:val="48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widowControl w:val="0"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widowControl w:val="0"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widowControl w:val="0"/>
      <w:spacing w:before="80" w:after="40"/>
      <w:outlineLvl w:val="3"/>
    </w:pPr>
    <w:rPr>
      <w:rFonts w:cstheme="majorBidi"/>
      <w:color w:val="0F4761" w:themeColor="accent1" w:themeShade="BF"/>
      <w:kern w:val="2"/>
      <w:sz w:val="28"/>
      <w:szCs w:val="28"/>
      <w:lang w:val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widowControl w:val="0"/>
      <w:spacing w:before="80" w:after="40"/>
      <w:outlineLvl w:val="4"/>
    </w:pPr>
    <w:rPr>
      <w:rFonts w:cstheme="majorBidi"/>
      <w:color w:val="0F4761" w:themeColor="accent1" w:themeShade="BF"/>
      <w:kern w:val="2"/>
      <w:sz w:val="24"/>
      <w:szCs w:val="24"/>
      <w:lang w:val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widowControl w:val="0"/>
      <w:spacing w:before="40"/>
      <w:outlineLvl w:val="5"/>
    </w:pPr>
    <w:rPr>
      <w:rFonts w:cstheme="majorBidi"/>
      <w:b/>
      <w:bCs/>
      <w:color w:val="0F4761" w:themeColor="accent1" w:themeShade="BF"/>
      <w:kern w:val="2"/>
      <w:sz w:val="21"/>
      <w:szCs w:val="24"/>
      <w:lang w:val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widowControl w:val="0"/>
      <w:spacing w:before="40"/>
      <w:outlineLvl w:val="6"/>
    </w:pPr>
    <w:rPr>
      <w:rFonts w:cstheme="majorBidi"/>
      <w:b/>
      <w:bCs/>
      <w:color w:val="595959" w:themeColor="text1" w:themeTint="A6"/>
      <w:kern w:val="2"/>
      <w:sz w:val="21"/>
      <w:szCs w:val="24"/>
      <w:lang w:val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widowControl w:val="0"/>
      <w:outlineLvl w:val="7"/>
    </w:pPr>
    <w:rPr>
      <w:rFonts w:cstheme="majorBidi"/>
      <w:color w:val="595959" w:themeColor="text1" w:themeTint="A6"/>
      <w:kern w:val="2"/>
      <w:sz w:val="21"/>
      <w:szCs w:val="24"/>
      <w:lang w:val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widowControl w:val="0"/>
      <w:outlineLvl w:val="8"/>
    </w:pPr>
    <w:rPr>
      <w:rFonts w:eastAsiaTheme="majorEastAsia" w:cstheme="majorBidi"/>
      <w:color w:val="595959" w:themeColor="text1" w:themeTint="A6"/>
      <w:kern w:val="2"/>
      <w:sz w:val="21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Subtitle"/>
    <w:basedOn w:val="a"/>
    <w:next w:val="a"/>
    <w:link w:val="a8"/>
    <w:uiPriority w:val="11"/>
    <w:qFormat/>
    <w:pPr>
      <w:widowControl w:val="0"/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  <w:lang w:val="en-US"/>
    </w:rPr>
  </w:style>
  <w:style w:type="paragraph" w:styleId="a9">
    <w:name w:val="Title"/>
    <w:basedOn w:val="a"/>
    <w:next w:val="a"/>
    <w:link w:val="aa"/>
    <w:uiPriority w:val="10"/>
    <w:qFormat/>
    <w:pPr>
      <w:widowControl w:val="0"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styleId="ab">
    <w:name w:val="line number"/>
    <w:basedOn w:val="a0"/>
    <w:uiPriority w:val="99"/>
    <w:semiHidden/>
    <w:unhideWhenUsed/>
    <w:qFormat/>
  </w:style>
  <w:style w:type="character" w:styleId="ac">
    <w:name w:val="Hyperlink"/>
    <w:basedOn w:val="a0"/>
    <w:uiPriority w:val="99"/>
    <w:unhideWhenUsed/>
    <w:qFormat/>
    <w:rPr>
      <w:color w:val="467886" w:themeColor="hyperlink"/>
      <w:u w:val="single"/>
    </w:rPr>
  </w:style>
  <w:style w:type="paragraph" w:customStyle="1" w:styleId="OAE42tablebody">
    <w:name w:val="OAE_4.2_table_body"/>
    <w:autoRedefine/>
    <w:qFormat/>
    <w:pPr>
      <w:adjustRightInd w:val="0"/>
      <w:snapToGrid w:val="0"/>
    </w:pPr>
    <w:rPr>
      <w:rFonts w:ascii="Palatino Linotype" w:eastAsia="Times New Roman" w:hAnsi="Palatino Linotype"/>
      <w:snapToGrid w:val="0"/>
      <w:color w:val="000000"/>
      <w:sz w:val="21"/>
      <w:szCs w:val="22"/>
      <w:lang w:eastAsia="de-DE" w:bidi="en-US"/>
    </w:rPr>
  </w:style>
  <w:style w:type="paragraph" w:customStyle="1" w:styleId="OAE3aequationnumber">
    <w:name w:val="OAE_3.a_equation_number"/>
    <w:basedOn w:val="a"/>
    <w:autoRedefine/>
    <w:qFormat/>
    <w:pPr>
      <w:adjustRightInd w:val="0"/>
      <w:snapToGrid w:val="0"/>
      <w:spacing w:before="120" w:after="120"/>
      <w:jc w:val="right"/>
    </w:pPr>
    <w:rPr>
      <w:rFonts w:ascii="Palatino Linotype" w:eastAsia="Times New Roman" w:hAnsi="Palatino Linotype" w:cs="Times New Roman"/>
      <w:snapToGrid w:val="0"/>
      <w:color w:val="000000"/>
      <w:sz w:val="21"/>
      <w:lang w:val="en-US" w:eastAsia="de-DE" w:bidi="en-US"/>
    </w:rPr>
  </w:style>
  <w:style w:type="character" w:customStyle="1" w:styleId="10">
    <w:name w:val="标题 1 字符"/>
    <w:basedOn w:val="a0"/>
    <w:link w:val="1"/>
    <w:qFormat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qFormat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qFormat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aa">
    <w:name w:val="标题 字符"/>
    <w:basedOn w:val="a0"/>
    <w:link w:val="a9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副标题 字符"/>
    <w:basedOn w:val="a0"/>
    <w:link w:val="a7"/>
    <w:uiPriority w:val="11"/>
    <w:qFormat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d">
    <w:name w:val="Quote"/>
    <w:basedOn w:val="a"/>
    <w:next w:val="a"/>
    <w:link w:val="ae"/>
    <w:uiPriority w:val="29"/>
    <w:qFormat/>
    <w:pPr>
      <w:widowControl w:val="0"/>
      <w:spacing w:before="160" w:after="160"/>
      <w:jc w:val="center"/>
    </w:pPr>
    <w:rPr>
      <w:i/>
      <w:iCs/>
      <w:color w:val="404040" w:themeColor="text1" w:themeTint="BF"/>
      <w:kern w:val="2"/>
      <w:sz w:val="21"/>
      <w:szCs w:val="24"/>
      <w:lang w:val="en-US"/>
    </w:rPr>
  </w:style>
  <w:style w:type="character" w:customStyle="1" w:styleId="ae">
    <w:name w:val="引用 字符"/>
    <w:basedOn w:val="a0"/>
    <w:link w:val="ad"/>
    <w:uiPriority w:val="29"/>
    <w:qFormat/>
    <w:rPr>
      <w:i/>
      <w:iCs/>
      <w:color w:val="404040" w:themeColor="text1" w:themeTint="BF"/>
    </w:rPr>
  </w:style>
  <w:style w:type="paragraph" w:styleId="af">
    <w:name w:val="List Paragraph"/>
    <w:basedOn w:val="a"/>
    <w:uiPriority w:val="34"/>
    <w:qFormat/>
    <w:pPr>
      <w:widowControl w:val="0"/>
      <w:ind w:left="720"/>
      <w:contextualSpacing/>
    </w:pPr>
    <w:rPr>
      <w:kern w:val="2"/>
      <w:sz w:val="21"/>
      <w:szCs w:val="24"/>
      <w:lang w:val="en-US"/>
    </w:rPr>
  </w:style>
  <w:style w:type="character" w:customStyle="1" w:styleId="11">
    <w:name w:val="明显强调1"/>
    <w:basedOn w:val="a0"/>
    <w:uiPriority w:val="21"/>
    <w:qFormat/>
    <w:rPr>
      <w:i/>
      <w:iCs/>
      <w:color w:val="0F4761" w:themeColor="accent1" w:themeShade="BF"/>
    </w:rPr>
  </w:style>
  <w:style w:type="paragraph" w:styleId="af0">
    <w:name w:val="Intense Quote"/>
    <w:basedOn w:val="a"/>
    <w:next w:val="a"/>
    <w:link w:val="af1"/>
    <w:uiPriority w:val="30"/>
    <w:qFormat/>
    <w:pPr>
      <w:widowControl w:val="0"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:sz w:val="21"/>
      <w:szCs w:val="24"/>
      <w:lang w:val="en-US"/>
    </w:rPr>
  </w:style>
  <w:style w:type="character" w:customStyle="1" w:styleId="af1">
    <w:name w:val="明显引用 字符"/>
    <w:basedOn w:val="a0"/>
    <w:link w:val="af0"/>
    <w:uiPriority w:val="30"/>
    <w:qFormat/>
    <w:rPr>
      <w:i/>
      <w:iCs/>
      <w:color w:val="0F4761" w:themeColor="accent1" w:themeShade="BF"/>
    </w:rPr>
  </w:style>
  <w:style w:type="character" w:customStyle="1" w:styleId="12">
    <w:name w:val="明显参考1"/>
    <w:basedOn w:val="a0"/>
    <w:uiPriority w:val="32"/>
    <w:qFormat/>
    <w:rPr>
      <w:b/>
      <w:bCs/>
      <w:smallCaps/>
      <w:color w:val="0F4761" w:themeColor="accent1" w:themeShade="BF"/>
      <w:spacing w:val="5"/>
    </w:rPr>
  </w:style>
  <w:style w:type="paragraph" w:customStyle="1" w:styleId="TextIndent">
    <w:name w:val="Text Indent"/>
    <w:autoRedefine/>
    <w:qFormat/>
    <w:pPr>
      <w:spacing w:line="260" w:lineRule="exact"/>
      <w:ind w:firstLine="302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a6">
    <w:name w:val="页眉 字符"/>
    <w:basedOn w:val="a0"/>
    <w:link w:val="a5"/>
    <w:uiPriority w:val="99"/>
    <w:rPr>
      <w:kern w:val="0"/>
      <w:sz w:val="18"/>
      <w:szCs w:val="18"/>
      <w:lang w:val="en-GB"/>
    </w:rPr>
  </w:style>
  <w:style w:type="character" w:customStyle="1" w:styleId="a4">
    <w:name w:val="页脚 字符"/>
    <w:basedOn w:val="a0"/>
    <w:link w:val="a3"/>
    <w:uiPriority w:val="99"/>
    <w:qFormat/>
    <w:rPr>
      <w:kern w:val="0"/>
      <w:sz w:val="18"/>
      <w:szCs w:val="18"/>
      <w:lang w:val="en-GB"/>
    </w:rPr>
  </w:style>
  <w:style w:type="paragraph" w:customStyle="1" w:styleId="13">
    <w:name w:val="修订1"/>
    <w:hidden/>
    <w:uiPriority w:val="99"/>
    <w:semiHidden/>
    <w:qFormat/>
    <w:rPr>
      <w:sz w:val="22"/>
      <w:szCs w:val="22"/>
      <w:lang w:val="en-GB"/>
    </w:rPr>
  </w:style>
  <w:style w:type="character" w:customStyle="1" w:styleId="14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styleId="af2">
    <w:name w:val="Revision"/>
    <w:hidden/>
    <w:uiPriority w:val="99"/>
    <w:unhideWhenUsed/>
    <w:rsid w:val="00FD0D80"/>
    <w:rPr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6419663-F7E9-F146-9598-2E5632719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1530</Words>
  <Characters>8723</Characters>
  <Application>Microsoft Office Word</Application>
  <DocSecurity>0</DocSecurity>
  <Lines>72</Lines>
  <Paragraphs>20</Paragraphs>
  <ScaleCrop>false</ScaleCrop>
  <Company/>
  <LinksUpToDate>false</LinksUpToDate>
  <CharactersWithSpaces>10233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Lijun jin</dc:creator>
  <cp:lastModifiedBy>pc</cp:lastModifiedBy>
  <cp:revision>8</cp:revision>
  <dcterms:created xsi:type="dcterms:W3CDTF">2025-01-17T07:27:00Z</dcterms:created>
  <dcterms:modified xsi:type="dcterms:W3CDTF">2025-01-17T07:57:00Z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eyJoZGlkIjoiODc5ZDRkZmU3Yzg3MmNiZjQwNjIyNmI1NTA3YjNmNDEiLCJ1c2VySWQiOiIyODE1MDM0OTMifQ==</vt:lpwstr>
  </property>
  <property fmtid="{D5CDD505-2E9C-101B-9397-08002B2CF9AE}" pid="3" name="KSOProductBuildVer">
    <vt:lpwstr>2052-12.1.0.19770</vt:lpwstr>
  </property>
  <property fmtid="{D5CDD505-2E9C-101B-9397-08002B2CF9AE}" pid="4" name="ICV">
    <vt:lpwstr>021B0662B52A4B64831C33F5973DF0A9_12</vt:lpwstr>
  </property>
</Properties>
</file>